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1"/>
        </w:rPr>
      </w:pPr>
    </w:p>
    <w:p>
      <w:pPr>
        <w:spacing w:before="100"/>
        <w:ind w:left="160" w:right="0" w:firstLine="0"/>
        <w:jc w:val="left"/>
        <w:rPr>
          <w:rFonts w:ascii="Franklin Gothic"/>
          <w:sz w:val="6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4343400</wp:posOffset>
            </wp:positionH>
            <wp:positionV relativeFrom="paragraph">
              <wp:posOffset>-91602</wp:posOffset>
            </wp:positionV>
            <wp:extent cx="2743199" cy="91911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"/>
          <w:color w:val="40AD49"/>
          <w:sz w:val="64"/>
        </w:rPr>
        <w:t>Everyday Safety</w:t>
      </w:r>
    </w:p>
    <w:p>
      <w:pPr>
        <w:spacing w:before="117"/>
        <w:ind w:left="160" w:right="0" w:firstLine="0"/>
        <w:jc w:val="left"/>
        <w:rPr>
          <w:rFonts w:ascii="Franklin Gothic"/>
          <w:i/>
          <w:sz w:val="32"/>
        </w:rPr>
      </w:pPr>
      <w:r>
        <w:rPr/>
        <w:pict>
          <v:line style="position:absolute;mso-position-horizontal-relative:page;mso-position-vertical-relative:paragraph;z-index:0;mso-wrap-distance-left:0;mso-wrap-distance-right:0" from="57pt,29.756229pt" to="561pt,29.756229pt" stroked="true" strokeweight="1pt" strokecolor="#40ad49">
            <v:stroke dashstyle="solid"/>
            <w10:wrap type="topAndBottom"/>
          </v:line>
        </w:pict>
      </w:r>
      <w:r>
        <w:rPr>
          <w:rFonts w:ascii="Franklin Gothic"/>
          <w:i/>
          <w:color w:val="40AD49"/>
          <w:sz w:val="32"/>
        </w:rPr>
        <w:t>Tailgate Talks</w:t>
      </w:r>
    </w:p>
    <w:p>
      <w:pPr>
        <w:pStyle w:val="BodyText"/>
        <w:spacing w:before="3"/>
        <w:rPr>
          <w:rFonts w:ascii="Franklin Gothic"/>
          <w:i/>
          <w:sz w:val="12"/>
        </w:rPr>
      </w:pPr>
    </w:p>
    <w:p>
      <w:pPr>
        <w:spacing w:before="80"/>
        <w:ind w:left="2676" w:right="0" w:firstLine="0"/>
        <w:jc w:val="left"/>
        <w:rPr>
          <w:b/>
          <w:sz w:val="62"/>
        </w:rPr>
      </w:pPr>
      <w:r>
        <w:rPr>
          <w:b/>
          <w:color w:val="231F20"/>
          <w:sz w:val="62"/>
        </w:rPr>
        <w:t>Chainsaw Safety</w:t>
      </w:r>
    </w:p>
    <w:p>
      <w:pPr>
        <w:spacing w:before="111"/>
        <w:ind w:left="164" w:right="0" w:firstLine="0"/>
        <w:jc w:val="left"/>
        <w:rPr>
          <w:i/>
          <w:sz w:val="24"/>
        </w:rPr>
      </w:pPr>
      <w:r>
        <w:rPr>
          <w:i/>
          <w:color w:val="231F20"/>
          <w:spacing w:val="-3"/>
          <w:sz w:val="24"/>
        </w:rPr>
        <w:t>This This Everyday Safety </w:t>
      </w:r>
      <w:r>
        <w:rPr>
          <w:i/>
          <w:color w:val="231F20"/>
          <w:spacing w:val="-6"/>
          <w:sz w:val="24"/>
        </w:rPr>
        <w:t>Tailgate </w:t>
      </w:r>
      <w:r>
        <w:rPr>
          <w:i/>
          <w:color w:val="231F20"/>
          <w:spacing w:val="-8"/>
          <w:sz w:val="24"/>
        </w:rPr>
        <w:t>Talk </w:t>
      </w:r>
      <w:r>
        <w:rPr>
          <w:i/>
          <w:color w:val="231F20"/>
          <w:sz w:val="24"/>
        </w:rPr>
        <w:t>was </w:t>
      </w:r>
      <w:r>
        <w:rPr>
          <w:i/>
          <w:color w:val="231F20"/>
          <w:spacing w:val="-3"/>
          <w:sz w:val="24"/>
        </w:rPr>
        <w:t>originally published </w:t>
      </w:r>
      <w:r>
        <w:rPr>
          <w:i/>
          <w:color w:val="231F20"/>
          <w:sz w:val="24"/>
        </w:rPr>
        <w:t>as the </w:t>
      </w:r>
      <w:r>
        <w:rPr>
          <w:i/>
          <w:color w:val="231F20"/>
          <w:spacing w:val="-3"/>
          <w:sz w:val="24"/>
        </w:rPr>
        <w:t>September 2017 “Safety</w:t>
      </w:r>
    </w:p>
    <w:p>
      <w:pPr>
        <w:spacing w:before="12"/>
        <w:ind w:left="578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Pins” by Philip E. Spiezio, Safety Officer, Washington County Office of the Safety Officer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line="249" w:lineRule="auto" w:before="152"/>
        <w:ind w:left="100" w:right="157"/>
        <w:jc w:val="both"/>
      </w:pPr>
      <w:r>
        <w:rPr>
          <w:color w:val="231F20"/>
        </w:rPr>
        <w:t>Fire is one of the most common disasters. Fire causes more deaths than any other type of </w:t>
      </w:r>
      <w:r>
        <w:rPr>
          <w:color w:val="231F20"/>
          <w:spacing w:val="-3"/>
        </w:rPr>
        <w:t>disaster. </w:t>
      </w:r>
      <w:r>
        <w:rPr>
          <w:color w:val="231F20"/>
        </w:rPr>
        <w:t>With early warning from smoke detectors and everyone knowing how to escape from their workplace or home, fires do not have to be so </w:t>
      </w:r>
      <w:r>
        <w:rPr>
          <w:color w:val="231F20"/>
          <w:spacing w:val="-4"/>
        </w:rPr>
        <w:t>deadly.</w:t>
      </w:r>
      <w:r>
        <w:rPr>
          <w:color w:val="231F20"/>
          <w:spacing w:val="57"/>
        </w:rPr>
        <w:t> </w:t>
      </w:r>
      <w:r>
        <w:rPr>
          <w:color w:val="231F20"/>
        </w:rPr>
        <w:t>Here are a few things to consider when planning your escape route: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9" w:lineRule="auto" w:before="0" w:after="0"/>
        <w:ind w:left="730" w:right="4536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4509516</wp:posOffset>
            </wp:positionH>
            <wp:positionV relativeFrom="paragraph">
              <wp:posOffset>-26809</wp:posOffset>
            </wp:positionV>
            <wp:extent cx="2613659" cy="161825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59" cy="161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Determine at least two ways to escape from every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room.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9" w:lineRule="auto" w:before="182" w:after="0"/>
        <w:ind w:left="730" w:right="4535" w:hanging="360"/>
        <w:jc w:val="both"/>
        <w:rPr>
          <w:sz w:val="24"/>
        </w:rPr>
      </w:pPr>
      <w:r>
        <w:rPr>
          <w:color w:val="231F20"/>
          <w:sz w:val="24"/>
        </w:rPr>
        <w:t>Consider escape ladders for sleeping areas on the second and third floors. Learn how to use and store them near the</w:t>
      </w:r>
      <w:r>
        <w:rPr>
          <w:color w:val="231F20"/>
          <w:spacing w:val="-3"/>
          <w:sz w:val="24"/>
        </w:rPr>
        <w:t> window.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9" w:lineRule="auto" w:before="183" w:after="0"/>
        <w:ind w:left="730" w:right="4536" w:hanging="360"/>
        <w:jc w:val="both"/>
        <w:rPr>
          <w:sz w:val="24"/>
        </w:rPr>
      </w:pPr>
      <w:r>
        <w:rPr>
          <w:color w:val="231F20"/>
          <w:sz w:val="24"/>
        </w:rPr>
        <w:t>Select a location outside your home where everyone will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meet.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9" w:lineRule="auto" w:before="182" w:after="0"/>
        <w:ind w:left="730" w:right="4533" w:hanging="360"/>
        <w:jc w:val="both"/>
        <w:rPr>
          <w:sz w:val="24"/>
        </w:rPr>
      </w:pPr>
      <w:r>
        <w:rPr>
          <w:color w:val="231F20"/>
          <w:sz w:val="24"/>
        </w:rPr>
        <w:t>Practice your escape plan at least twice a </w:t>
      </w:r>
      <w:r>
        <w:rPr>
          <w:color w:val="231F20"/>
          <w:spacing w:val="-3"/>
          <w:sz w:val="24"/>
        </w:rPr>
        <w:t>year. </w:t>
      </w:r>
      <w:r>
        <w:rPr>
          <w:color w:val="231F20"/>
          <w:sz w:val="24"/>
        </w:rPr>
        <w:t>Use a blanket to simulate a layer of smoke to teach the kids to stay </w:t>
      </w:r>
      <w:r>
        <w:rPr>
          <w:color w:val="231F20"/>
          <w:spacing w:val="-4"/>
          <w:sz w:val="24"/>
        </w:rPr>
        <w:t>low.</w:t>
      </w:r>
      <w:r>
        <w:rPr>
          <w:color w:val="231F20"/>
          <w:spacing w:val="57"/>
          <w:sz w:val="24"/>
        </w:rPr>
        <w:t> </w:t>
      </w:r>
      <w:r>
        <w:rPr>
          <w:color w:val="231F20"/>
          <w:sz w:val="24"/>
        </w:rPr>
        <w:t>Make it a fun family or work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event!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84" w:after="0"/>
        <w:ind w:left="730" w:right="0" w:hanging="360"/>
        <w:jc w:val="left"/>
        <w:rPr>
          <w:sz w:val="24"/>
        </w:rPr>
      </w:pPr>
      <w:r>
        <w:rPr>
          <w:color w:val="231F20"/>
          <w:sz w:val="24"/>
        </w:rPr>
        <w:t>If you see smoke or fire in your first escape route, use your second way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out.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360"/>
        <w:jc w:val="left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escaping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through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closed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door,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feel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door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before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opening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it.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warm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then</w:t>
      </w:r>
    </w:p>
    <w:p>
      <w:pPr>
        <w:pStyle w:val="BodyText"/>
        <w:spacing w:before="12"/>
        <w:ind w:left="711" w:right="6867"/>
        <w:jc w:val="center"/>
      </w:pPr>
      <w:r>
        <w:rPr>
          <w:color w:val="231F20"/>
        </w:rPr>
        <w:t>use your second way out.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360"/>
        <w:jc w:val="left"/>
        <w:rPr>
          <w:sz w:val="24"/>
        </w:rPr>
      </w:pPr>
      <w:r>
        <w:rPr>
          <w:color w:val="231F20"/>
          <w:sz w:val="24"/>
        </w:rPr>
        <w:t>Keep all exits, exit passageways and stairs clear at all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times.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192" w:after="0"/>
        <w:ind w:left="730" w:right="0" w:hanging="360"/>
        <w:jc w:val="left"/>
        <w:rPr>
          <w:sz w:val="24"/>
        </w:rPr>
      </w:pPr>
      <w:r>
        <w:rPr>
          <w:color w:val="231F20"/>
          <w:sz w:val="24"/>
        </w:rPr>
        <w:t>Once you are out stay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out!!!</w:t>
      </w:r>
    </w:p>
    <w:p>
      <w:pPr>
        <w:spacing w:before="203"/>
        <w:ind w:left="370" w:right="0" w:firstLine="0"/>
        <w:jc w:val="left"/>
        <w:rPr>
          <w:i/>
          <w:sz w:val="28"/>
        </w:rPr>
      </w:pPr>
      <w:r>
        <w:rPr>
          <w:i/>
          <w:color w:val="231F20"/>
          <w:sz w:val="28"/>
        </w:rPr>
        <w:t>Remember - fire prevention is your best protection!!!</w:t>
      </w:r>
    </w:p>
    <w:p>
      <w:pPr>
        <w:pStyle w:val="BodyText"/>
        <w:spacing w:before="8"/>
        <w:rPr>
          <w:i/>
          <w:sz w:val="25"/>
        </w:rPr>
      </w:pPr>
      <w:r>
        <w:rPr/>
        <w:pict>
          <v:line style="position:absolute;mso-position-horizontal-relative:page;mso-position-vertical-relative:paragraph;z-index:1048;mso-wrap-distance-left:0;mso-wrap-distance-right:0" from="54pt,17.25317pt" to="558pt,17.25317pt" stroked="true" strokeweight="1pt" strokecolor="#40ad49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723900</wp:posOffset>
            </wp:positionH>
            <wp:positionV relativeFrom="paragraph">
              <wp:posOffset>339142</wp:posOffset>
            </wp:positionV>
            <wp:extent cx="1565914" cy="960119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4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5pt;margin-top:26.25317pt;width:251pt;height:84.5pt;mso-position-horizontal-relative:page;mso-position-vertical-relative:paragraph;z-index:1096;mso-wrap-distance-left:0;mso-wrap-distance-right:0" type="#_x0000_t202" filled="false" stroked="true" strokeweight="1pt" strokecolor="#40ad49">
            <v:textbox inset="0,0,0,0">
              <w:txbxContent>
                <w:p>
                  <w:pPr>
                    <w:pStyle w:val="BodyText"/>
                    <w:spacing w:before="3"/>
                    <w:rPr>
                      <w:i/>
                      <w:sz w:val="31"/>
                    </w:rPr>
                  </w:pPr>
                </w:p>
                <w:p>
                  <w:pPr>
                    <w:spacing w:line="249" w:lineRule="auto" w:before="0"/>
                    <w:ind w:left="180" w:right="181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Everyday Safety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Tailgate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Talks </w:t>
                  </w:r>
                  <w:r>
                    <w:rPr>
                      <w:i/>
                      <w:color w:val="231F20"/>
                      <w:sz w:val="20"/>
                    </w:rPr>
                    <w:t>are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published </w:t>
                  </w:r>
                  <w:r>
                    <w:rPr>
                      <w:i/>
                      <w:color w:val="231F20"/>
                      <w:sz w:val="20"/>
                    </w:rPr>
                    <w:t>by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Cornell Local Roads </w:t>
                  </w:r>
                  <w:r>
                    <w:rPr>
                      <w:i/>
                      <w:color w:val="231F20"/>
                      <w:sz w:val="20"/>
                    </w:rPr>
                    <w:t>Program in cooperation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with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National Local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Technical </w:t>
                  </w:r>
                  <w:r>
                    <w:rPr>
                      <w:i/>
                      <w:color w:val="231F20"/>
                      <w:sz w:val="20"/>
                    </w:rPr>
                    <w:t>Assistance Association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and participating partner organizations.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440" w:bottom="280" w:left="980" w:right="920"/>
        </w:sectPr>
      </w:pPr>
    </w:p>
    <w:p>
      <w:pPr>
        <w:pStyle w:val="BodyText"/>
        <w:spacing w:before="11"/>
        <w:rPr>
          <w:i/>
          <w:sz w:val="9"/>
        </w:rPr>
      </w:pPr>
    </w:p>
    <w:p>
      <w:pPr>
        <w:pStyle w:val="Heading2"/>
        <w:spacing w:before="90"/>
        <w:rPr>
          <w:i/>
        </w:rPr>
      </w:pPr>
      <w:r>
        <w:rPr>
          <w:i/>
        </w:rPr>
        <w:t>Action Item:</w:t>
      </w:r>
    </w:p>
    <w:p>
      <w:pPr>
        <w:spacing w:before="179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Create a fire prevention plan (FPP)</w:t>
      </w:r>
    </w:p>
    <w:p>
      <w:pPr>
        <w:pStyle w:val="BodyText"/>
        <w:spacing w:line="249" w:lineRule="auto" w:before="192"/>
        <w:ind w:left="100" w:right="461"/>
        <w:jc w:val="both"/>
      </w:pPr>
      <w:r>
        <w:rPr>
          <w:color w:val="231F20"/>
        </w:rPr>
        <w:t>A fire prevention plan must be in writing, be kept in the workplace, and be made available to employees for review. </w:t>
      </w:r>
      <w:r>
        <w:rPr>
          <w:color w:val="231F20"/>
          <w:spacing w:val="-3"/>
        </w:rPr>
        <w:t>However, </w:t>
      </w:r>
      <w:r>
        <w:rPr>
          <w:color w:val="231F20"/>
        </w:rPr>
        <w:t>an employer with 10 or fewer employees may communicate the plan orally to employees. [29 CFR 1910.39(b)]</w:t>
      </w:r>
    </w:p>
    <w:p>
      <w:pPr>
        <w:pStyle w:val="BodyText"/>
        <w:spacing w:before="183"/>
        <w:ind w:left="100"/>
      </w:pPr>
      <w:r>
        <w:rPr>
          <w:color w:val="231F20"/>
        </w:rPr>
        <w:t>At a minimum, your fire prevention plan must include: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9" w:lineRule="auto" w:before="192" w:after="0"/>
        <w:ind w:left="550" w:right="786" w:hanging="270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list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major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fire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hazards,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proper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handling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storage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procedures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hazardous materials, potential ignition sources and their control, and the type of fire protection equipment necessary to control each major hazard. [29 CFR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1910.39(c)(1)]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9" w:lineRule="auto" w:before="183" w:after="0"/>
        <w:ind w:left="550" w:right="451" w:hanging="270"/>
        <w:jc w:val="left"/>
        <w:rPr>
          <w:sz w:val="24"/>
        </w:rPr>
      </w:pPr>
      <w:r>
        <w:rPr>
          <w:color w:val="231F20"/>
          <w:sz w:val="24"/>
        </w:rPr>
        <w:t>Procedures to control accumulations of flammable and combustible waste materials.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[29 CFR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1910.39(c)(2)]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182" w:after="0"/>
        <w:ind w:left="550" w:right="0" w:hanging="270"/>
        <w:jc w:val="left"/>
        <w:rPr>
          <w:sz w:val="24"/>
        </w:rPr>
      </w:pPr>
      <w:r>
        <w:rPr>
          <w:color w:val="231F20"/>
          <w:sz w:val="24"/>
        </w:rPr>
        <w:t>Procedures for regular maintenance of safeguards installed on heat-producing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equipment</w:t>
      </w:r>
    </w:p>
    <w:p>
      <w:pPr>
        <w:pStyle w:val="BodyText"/>
        <w:spacing w:before="12"/>
        <w:ind w:left="550"/>
      </w:pPr>
      <w:r>
        <w:rPr>
          <w:color w:val="231F20"/>
        </w:rPr>
        <w:t>to prevent the accidental ignition of combustible materials. [29 CFR 1910.39(c)(3)]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9" w:lineRule="auto" w:before="192" w:after="0"/>
        <w:ind w:left="550" w:right="570" w:hanging="27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name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job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title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employees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responsible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maintaining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equipment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prevent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or control sources of ignition or fires. [29 CFR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1910.39(c)(4)]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9" w:lineRule="auto" w:before="182" w:after="0"/>
        <w:ind w:left="550" w:right="382" w:hanging="270"/>
        <w:jc w:val="left"/>
        <w:rPr>
          <w:sz w:val="24"/>
        </w:rPr>
      </w:pPr>
      <w:r>
        <w:rPr>
          <w:color w:val="231F20"/>
          <w:sz w:val="24"/>
        </w:rPr>
        <w:t>The name or job title of employees responsible for the control of fuel source hazards. [29 CFR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1910.39(c)(5)]</w:t>
      </w:r>
    </w:p>
    <w:p>
      <w:pPr>
        <w:pStyle w:val="BodyText"/>
        <w:spacing w:line="249" w:lineRule="auto" w:before="182"/>
        <w:ind w:left="100" w:right="134"/>
      </w:pPr>
      <w:r>
        <w:rPr>
          <w:color w:val="231F20"/>
        </w:rPr>
        <w:t>An employer must inform employees upon initial assignment to a job of the fire hazards to which they are exposed. An employer must also review with each employee those parts of the fire prevention plan necessary for self-protection. [29 CFR 1910.39(d)]</w:t>
      </w:r>
    </w:p>
    <w:p>
      <w:pPr>
        <w:spacing w:before="183"/>
        <w:ind w:left="100" w:right="0" w:firstLine="0"/>
        <w:jc w:val="left"/>
        <w:rPr>
          <w:i/>
          <w:sz w:val="24"/>
        </w:rPr>
      </w:pPr>
      <w:r>
        <w:rPr>
          <w:color w:val="231F20"/>
          <w:sz w:val="24"/>
        </w:rPr>
        <w:t>Source: </w:t>
      </w:r>
      <w:hyperlink r:id="rId10">
        <w:r>
          <w:rPr>
            <w:i/>
            <w:color w:val="008BBF"/>
            <w:sz w:val="24"/>
          </w:rPr>
          <w:t>https://www.osha.gov/SLTC/etools/evacuation/fire.html</w:t>
        </w:r>
      </w:hyperlink>
    </w:p>
    <w:p>
      <w:pPr>
        <w:pStyle w:val="Heading2"/>
        <w:rPr>
          <w:i/>
        </w:rPr>
      </w:pPr>
      <w:r>
        <w:rPr>
          <w:i/>
        </w:rPr>
        <w:t>Related Topics:</w:t>
      </w:r>
    </w:p>
    <w:p>
      <w:pPr>
        <w:pStyle w:val="BodyText"/>
        <w:spacing w:before="179"/>
        <w:ind w:left="100"/>
      </w:pPr>
      <w:r>
        <w:rPr/>
        <w:t>Hazards of Solvents</w:t>
      </w:r>
    </w:p>
    <w:p>
      <w:pPr>
        <w:pStyle w:val="Heading2"/>
        <w:rPr>
          <w:i/>
        </w:rPr>
      </w:pPr>
      <w:r>
        <w:rPr>
          <w:i/>
        </w:rPr>
        <w:t>Resources and References:</w:t>
      </w:r>
    </w:p>
    <w:p>
      <w:pPr>
        <w:pStyle w:val="BodyText"/>
        <w:spacing w:before="179"/>
        <w:ind w:left="100"/>
      </w:pPr>
      <w:r>
        <w:rPr/>
        <w:t>OSHA Fire Safety Standards Website URL</w:t>
      </w:r>
    </w:p>
    <w:p>
      <w:pPr>
        <w:spacing w:before="12"/>
        <w:ind w:left="100" w:right="0" w:firstLine="0"/>
        <w:jc w:val="left"/>
        <w:rPr>
          <w:i/>
          <w:sz w:val="24"/>
        </w:rPr>
      </w:pPr>
      <w:hyperlink r:id="rId11">
        <w:r>
          <w:rPr>
            <w:i/>
            <w:color w:val="008BBF"/>
            <w:sz w:val="24"/>
          </w:rPr>
          <w:t>https://www.osha.gov/SLTC/firesafety/standards.html</w:t>
        </w:r>
      </w:hyperlink>
    </w:p>
    <w:p>
      <w:pPr>
        <w:pStyle w:val="BodyText"/>
        <w:spacing w:before="192"/>
        <w:ind w:left="100"/>
      </w:pPr>
      <w:r>
        <w:rPr>
          <w:color w:val="231F20"/>
        </w:rPr>
        <w:t>United State Fire Administration Webpage URL</w:t>
      </w:r>
    </w:p>
    <w:p>
      <w:pPr>
        <w:spacing w:before="12"/>
        <w:ind w:left="100" w:right="0" w:firstLine="0"/>
        <w:jc w:val="left"/>
        <w:rPr>
          <w:i/>
          <w:sz w:val="24"/>
        </w:rPr>
      </w:pPr>
      <w:hyperlink r:id="rId12">
        <w:r>
          <w:rPr>
            <w:i/>
            <w:color w:val="008BBF"/>
            <w:sz w:val="24"/>
          </w:rPr>
          <w:t>https://www.usfa.fema.gov/index.html</w:t>
        </w:r>
      </w:hyperlink>
    </w:p>
    <w:p>
      <w:pPr>
        <w:spacing w:after="0"/>
        <w:jc w:val="left"/>
        <w:rPr>
          <w:sz w:val="24"/>
        </w:rPr>
        <w:sectPr>
          <w:headerReference w:type="default" r:id="rId8"/>
          <w:footerReference w:type="default" r:id="rId9"/>
          <w:pgSz w:w="12240" w:h="15840"/>
          <w:pgMar w:header="972" w:footer="1160" w:top="1160" w:bottom="1360" w:left="980" w:right="920"/>
          <w:pgNumType w:start="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1"/>
        </w:rPr>
      </w:pPr>
    </w:p>
    <w:p>
      <w:pPr>
        <w:pStyle w:val="Heading1"/>
        <w:tabs>
          <w:tab w:pos="5055" w:val="left" w:leader="none"/>
          <w:tab w:pos="5972" w:val="left" w:leader="none"/>
          <w:tab w:pos="6890" w:val="left" w:leader="none"/>
        </w:tabs>
        <w:ind w:left="3388"/>
      </w:pPr>
      <w:r>
        <w:rPr>
          <w:color w:val="231F20"/>
        </w:rPr>
        <w:t>Date:</w:t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> </w:t>
        <w:tab/>
      </w:r>
    </w:p>
    <w:p>
      <w:pPr>
        <w:pStyle w:val="BodyText"/>
        <w:spacing w:before="9"/>
        <w:rPr>
          <w:b/>
        </w:rPr>
      </w:pPr>
    </w:p>
    <w:p>
      <w:pPr>
        <w:spacing w:before="90"/>
        <w:ind w:left="711" w:right="768" w:firstLine="0"/>
        <w:jc w:val="center"/>
        <w:rPr>
          <w:b/>
          <w:sz w:val="30"/>
        </w:rPr>
      </w:pPr>
      <w:r>
        <w:rPr>
          <w:b/>
          <w:color w:val="231F20"/>
          <w:sz w:val="30"/>
        </w:rPr>
        <w:t>“Fire Preparedness Safety”</w:t>
      </w:r>
    </w:p>
    <w:p>
      <w:pPr>
        <w:spacing w:before="15"/>
        <w:ind w:left="711" w:right="768" w:firstLine="0"/>
        <w:jc w:val="center"/>
        <w:rPr>
          <w:b/>
          <w:sz w:val="30"/>
        </w:rPr>
      </w:pPr>
      <w:r>
        <w:rPr>
          <w:b/>
          <w:color w:val="231F20"/>
          <w:sz w:val="30"/>
        </w:rPr>
        <w:t>Sign In Sheet:</w:t>
      </w:r>
    </w:p>
    <w:p>
      <w:pPr>
        <w:pStyle w:val="BodyText"/>
        <w:spacing w:before="7"/>
        <w:rPr>
          <w:b/>
          <w:sz w:val="32"/>
        </w:rPr>
      </w:pPr>
    </w:p>
    <w:p>
      <w:pPr>
        <w:tabs>
          <w:tab w:pos="7210" w:val="left" w:leader="none"/>
        </w:tabs>
        <w:spacing w:before="0"/>
        <w:ind w:left="986" w:right="0" w:firstLine="0"/>
        <w:jc w:val="left"/>
        <w:rPr>
          <w:b/>
          <w:sz w:val="30"/>
        </w:rPr>
      </w:pPr>
      <w:r>
        <w:rPr>
          <w:b/>
          <w:color w:val="231F20"/>
          <w:sz w:val="30"/>
        </w:rPr>
        <w:t>Name:</w:t>
        <w:tab/>
        <w:t>Signature: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  <w:r>
        <w:rPr/>
        <w:pict>
          <v:line style="position:absolute;mso-position-horizontal-relative:page;mso-position-vertical-relative:paragraph;z-index:1168;mso-wrap-distance-left:0;mso-wrap-distance-right:0" from="54pt,12.153047pt" to="212.460008pt,12.153047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366.570007pt,12.153047pt" to="533.370015pt,12.153047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216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264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312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360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408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456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504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552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6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600;mso-wrap-distance-left:0;mso-wrap-distance-right:0" from="54pt,10.851938pt" to="212.460008pt,10.851938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366.570007pt,10.851938pt" to="533.370015pt,10.851938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648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696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744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792;mso-wrap-distance-left:0;mso-wrap-distance-right:0" from="54pt,10.851961pt" to="212.460008pt,10.851961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6;mso-wrap-distance-left:0;mso-wrap-distance-right:0" from="366.570007pt,10.851961pt" to="533.370015pt,10.851961pt" stroked="true" strokeweight="1.335pt" strokecolor="#221e1f">
            <v:stroke dashstyle="solid"/>
            <w10:wrap type="topAndBottom"/>
          </v:line>
        </w:pict>
      </w:r>
    </w:p>
    <w:sectPr>
      <w:pgSz w:w="12240" w:h="15840"/>
      <w:pgMar w:header="972" w:footer="1160" w:top="1160" w:bottom="136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Franklin Gothic">
    <w:altName w:val="Franklin Gothic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656" from="54pt,720.5pt" to="558pt,720.5pt" stroked="true" strokeweight="1pt" strokecolor="#40ad49">
          <v:stroke dashstyle="solid"/>
          <w10:wrap type="none"/>
        </v:line>
      </w:pict>
    </w:r>
    <w:r>
      <w:rPr/>
      <w:pict>
        <v:shape style="position:absolute;margin-left:53pt;margin-top:732.669922pt;width:60.3pt;height:10.95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Everyday Safety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644470pt;margin-top:733.669922pt;width:28.4pt;height:10.95pt;mso-position-horizontal-relative:page;mso-position-vertical-relative:page;z-index:-5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6.205002pt;margin-top:48.669914pt;width:129.1pt;height:10.9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FIRE PREPAREDNESS SAFETY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50" w:hanging="270"/>
      </w:pPr>
      <w:rPr>
        <w:rFonts w:hint="default" w:ascii="Arial" w:hAnsi="Arial" w:eastAsia="Arial" w:cs="Arial"/>
        <w:color w:val="231F20"/>
        <w:spacing w:val="-15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38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6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4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72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50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28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06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4" w:hanging="27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730" w:hanging="360"/>
      </w:pPr>
      <w:rPr>
        <w:rFonts w:hint="default" w:ascii="Wingdings" w:hAnsi="Wingdings" w:eastAsia="Wingdings" w:cs="Wingdings"/>
        <w:color w:val="231F2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711"/>
      <w:outlineLvl w:val="1"/>
    </w:pPr>
    <w:rPr>
      <w:rFonts w:ascii="Arial" w:hAnsi="Arial" w:eastAsia="Arial" w:cs="Arial"/>
      <w:b/>
      <w:bCs/>
      <w:sz w:val="30"/>
      <w:szCs w:val="3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08"/>
      <w:ind w:left="100"/>
      <w:outlineLvl w:val="2"/>
    </w:pPr>
    <w:rPr>
      <w:rFonts w:ascii="Arial" w:hAnsi="Arial" w:eastAsia="Arial" w:cs="Arial"/>
      <w:b/>
      <w:bCs/>
      <w:i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92"/>
      <w:ind w:left="73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www.osha.gov/SLTC/etools/evacuation/fire.html" TargetMode="External"/><Relationship Id="rId11" Type="http://schemas.openxmlformats.org/officeDocument/2006/relationships/hyperlink" Target="https://www.osha.gov/SLTC/firesafety/standards.html" TargetMode="External"/><Relationship Id="rId12" Type="http://schemas.openxmlformats.org/officeDocument/2006/relationships/hyperlink" Target="https://www.usfa.fema.gov/index.html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2018-01-10T19:32:35Z</dcterms:created>
  <dcterms:modified xsi:type="dcterms:W3CDTF">2018-01-10T19:32:35Z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2018-01-10T00:00:00Z</vt:filetime>
  </property>
</Properties>
</file>