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1"/>
        </w:rPr>
      </w:pPr>
    </w:p>
    <w:p>
      <w:pPr>
        <w:spacing w:before="100"/>
        <w:ind w:left="160" w:right="0" w:firstLine="0"/>
        <w:jc w:val="left"/>
        <w:rPr>
          <w:rFonts w:ascii="Franklin Gothic"/>
          <w:sz w:val="64"/>
        </w:rPr>
      </w:pPr>
      <w:r>
        <w:rPr/>
        <w:drawing>
          <wp:anchor distT="0" distB="0" distL="0" distR="0" allowOverlap="1" layoutInCell="1" locked="0" behindDoc="0" simplePos="0" relativeHeight="1120">
            <wp:simplePos x="0" y="0"/>
            <wp:positionH relativeFrom="page">
              <wp:posOffset>4343400</wp:posOffset>
            </wp:positionH>
            <wp:positionV relativeFrom="paragraph">
              <wp:posOffset>-91602</wp:posOffset>
            </wp:positionV>
            <wp:extent cx="2743199" cy="9191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43199" cy="919119"/>
                    </a:xfrm>
                    <a:prstGeom prst="rect">
                      <a:avLst/>
                    </a:prstGeom>
                  </pic:spPr>
                </pic:pic>
              </a:graphicData>
            </a:graphic>
          </wp:anchor>
        </w:drawing>
      </w:r>
      <w:r>
        <w:rPr>
          <w:rFonts w:ascii="Franklin Gothic"/>
          <w:color w:val="40AD49"/>
          <w:sz w:val="64"/>
        </w:rPr>
        <w:t>Everyday Safety</w:t>
      </w:r>
    </w:p>
    <w:p>
      <w:pPr>
        <w:spacing w:before="117"/>
        <w:ind w:left="160" w:right="0" w:firstLine="0"/>
        <w:jc w:val="left"/>
        <w:rPr>
          <w:rFonts w:ascii="Franklin Gothic"/>
          <w:i/>
          <w:sz w:val="32"/>
        </w:rPr>
      </w:pPr>
      <w:r>
        <w:rPr/>
        <w:pict>
          <v:line style="position:absolute;mso-position-horizontal-relative:page;mso-position-vertical-relative:paragraph;z-index:0;mso-wrap-distance-left:0;mso-wrap-distance-right:0" from="57pt,29.756229pt" to="561pt,29.756229pt" stroked="true" strokeweight="1pt" strokecolor="#40ad49">
            <v:stroke dashstyle="solid"/>
            <w10:wrap type="topAndBottom"/>
          </v:line>
        </w:pict>
      </w:r>
      <w:r>
        <w:rPr>
          <w:rFonts w:ascii="Franklin Gothic"/>
          <w:i/>
          <w:color w:val="40AD49"/>
          <w:sz w:val="32"/>
        </w:rPr>
        <w:t>Tailgate Talks</w:t>
      </w:r>
    </w:p>
    <w:p>
      <w:pPr>
        <w:spacing w:before="152"/>
        <w:ind w:left="1055" w:right="0" w:firstLine="0"/>
        <w:jc w:val="left"/>
        <w:rPr>
          <w:b/>
          <w:sz w:val="70"/>
        </w:rPr>
      </w:pPr>
      <w:r>
        <w:rPr>
          <w:b/>
          <w:color w:val="231F20"/>
          <w:sz w:val="70"/>
        </w:rPr>
        <w:t>Heavy Equipment Safety</w:t>
      </w:r>
    </w:p>
    <w:p>
      <w:pPr>
        <w:spacing w:line="249" w:lineRule="auto" w:before="184"/>
        <w:ind w:left="306" w:right="0" w:hanging="107"/>
        <w:jc w:val="left"/>
        <w:rPr>
          <w:i/>
          <w:sz w:val="24"/>
        </w:rPr>
      </w:pPr>
      <w:r>
        <w:rPr>
          <w:i/>
          <w:color w:val="231F20"/>
          <w:spacing w:val="-3"/>
          <w:sz w:val="24"/>
        </w:rPr>
        <w:t>This Everyday Safety </w:t>
      </w:r>
      <w:r>
        <w:rPr>
          <w:i/>
          <w:color w:val="231F20"/>
          <w:spacing w:val="-6"/>
          <w:sz w:val="24"/>
        </w:rPr>
        <w:t>Tailgate </w:t>
      </w:r>
      <w:r>
        <w:rPr>
          <w:i/>
          <w:color w:val="231F20"/>
          <w:spacing w:val="-8"/>
          <w:sz w:val="24"/>
        </w:rPr>
        <w:t>Talk </w:t>
      </w:r>
      <w:r>
        <w:rPr>
          <w:i/>
          <w:color w:val="231F20"/>
          <w:sz w:val="24"/>
        </w:rPr>
        <w:t>was </w:t>
      </w:r>
      <w:r>
        <w:rPr>
          <w:i/>
          <w:color w:val="231F20"/>
          <w:spacing w:val="-3"/>
          <w:sz w:val="24"/>
        </w:rPr>
        <w:t>originally published </w:t>
      </w:r>
      <w:r>
        <w:rPr>
          <w:i/>
          <w:color w:val="231F20"/>
          <w:sz w:val="24"/>
        </w:rPr>
        <w:t>as </w:t>
      </w:r>
      <w:r>
        <w:rPr>
          <w:i/>
          <w:color w:val="231F20"/>
          <w:spacing w:val="-3"/>
          <w:sz w:val="24"/>
        </w:rPr>
        <w:t>part </w:t>
      </w:r>
      <w:r>
        <w:rPr>
          <w:i/>
          <w:color w:val="231F20"/>
          <w:sz w:val="24"/>
        </w:rPr>
        <w:t>of the </w:t>
      </w:r>
      <w:r>
        <w:rPr>
          <w:i/>
          <w:color w:val="231F20"/>
          <w:spacing w:val="-3"/>
          <w:sz w:val="24"/>
        </w:rPr>
        <w:t>January 2017 training </w:t>
      </w:r>
      <w:r>
        <w:rPr>
          <w:i/>
          <w:color w:val="231F20"/>
          <w:spacing w:val="-3"/>
          <w:sz w:val="24"/>
        </w:rPr>
        <w:t>series </w:t>
      </w:r>
      <w:r>
        <w:rPr>
          <w:i/>
          <w:color w:val="231F20"/>
          <w:spacing w:val="-6"/>
          <w:sz w:val="24"/>
        </w:rPr>
        <w:t>“Tailgate </w:t>
      </w:r>
      <w:r>
        <w:rPr>
          <w:i/>
          <w:color w:val="231F20"/>
          <w:spacing w:val="-7"/>
          <w:sz w:val="24"/>
        </w:rPr>
        <w:t>Talks” </w:t>
      </w:r>
      <w:r>
        <w:rPr>
          <w:i/>
          <w:color w:val="231F20"/>
          <w:sz w:val="24"/>
        </w:rPr>
        <w:t>by the </w:t>
      </w:r>
      <w:r>
        <w:rPr>
          <w:i/>
          <w:color w:val="231F20"/>
          <w:spacing w:val="-3"/>
          <w:sz w:val="24"/>
        </w:rPr>
        <w:t>Connecticut </w:t>
      </w:r>
      <w:r>
        <w:rPr>
          <w:i/>
          <w:color w:val="231F20"/>
          <w:spacing w:val="-5"/>
          <w:sz w:val="24"/>
        </w:rPr>
        <w:t>Transportation </w:t>
      </w:r>
      <w:r>
        <w:rPr>
          <w:i/>
          <w:color w:val="231F20"/>
          <w:spacing w:val="-3"/>
          <w:sz w:val="24"/>
        </w:rPr>
        <w:t>Institute </w:t>
      </w:r>
      <w:r>
        <w:rPr>
          <w:i/>
          <w:color w:val="231F20"/>
          <w:spacing w:val="-5"/>
          <w:sz w:val="24"/>
        </w:rPr>
        <w:t>Technology Transfer </w:t>
      </w:r>
      <w:r>
        <w:rPr>
          <w:i/>
          <w:color w:val="231F20"/>
          <w:spacing w:val="-3"/>
          <w:sz w:val="24"/>
        </w:rPr>
        <w:t>Center</w:t>
      </w:r>
    </w:p>
    <w:p>
      <w:pPr>
        <w:pStyle w:val="BodyText"/>
        <w:spacing w:line="249" w:lineRule="auto" w:before="182"/>
        <w:ind w:left="100" w:right="156"/>
        <w:jc w:val="both"/>
      </w:pPr>
      <w:r>
        <w:rPr>
          <w:color w:val="231F20"/>
        </w:rPr>
        <w:t>Heavy equipment is designed to handle very large volumes or heavy loads. Therefore, these are powerful machines that are dangerous to everyone around them if they are not operated correctly. It is important to remember the proper methods used to move them from one site to another and how to work around their operation.</w:t>
      </w:r>
    </w:p>
    <w:p>
      <w:pPr>
        <w:pStyle w:val="BodyText"/>
        <w:spacing w:before="9"/>
        <w:rPr>
          <w:sz w:val="23"/>
        </w:rPr>
      </w:pPr>
    </w:p>
    <w:p>
      <w:pPr>
        <w:pStyle w:val="Heading3"/>
        <w:spacing w:before="1"/>
        <w:ind w:left="190"/>
      </w:pPr>
      <w:r>
        <w:rPr/>
        <w:drawing>
          <wp:anchor distT="0" distB="0" distL="0" distR="0" allowOverlap="1" layoutInCell="1" locked="0" behindDoc="0" simplePos="0" relativeHeight="1144">
            <wp:simplePos x="0" y="0"/>
            <wp:positionH relativeFrom="page">
              <wp:posOffset>4892040</wp:posOffset>
            </wp:positionH>
            <wp:positionV relativeFrom="paragraph">
              <wp:posOffset>15819</wp:posOffset>
            </wp:positionV>
            <wp:extent cx="2194559" cy="146303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194559" cy="1463039"/>
                    </a:xfrm>
                    <a:prstGeom prst="rect">
                      <a:avLst/>
                    </a:prstGeom>
                  </pic:spPr>
                </pic:pic>
              </a:graphicData>
            </a:graphic>
          </wp:anchor>
        </w:drawing>
      </w:r>
      <w:r>
        <w:rPr>
          <w:color w:val="231F20"/>
        </w:rPr>
        <w:t>General Rules When Heavy Equipment Is Nearby</w:t>
      </w:r>
    </w:p>
    <w:p>
      <w:pPr>
        <w:pStyle w:val="ListParagraph"/>
        <w:numPr>
          <w:ilvl w:val="0"/>
          <w:numId w:val="1"/>
        </w:numPr>
        <w:tabs>
          <w:tab w:pos="730" w:val="left" w:leader="none"/>
        </w:tabs>
        <w:spacing w:line="240" w:lineRule="auto" w:before="102" w:after="0"/>
        <w:ind w:left="730" w:right="0" w:hanging="270"/>
        <w:jc w:val="left"/>
        <w:rPr>
          <w:sz w:val="24"/>
        </w:rPr>
      </w:pPr>
      <w:r>
        <w:rPr>
          <w:color w:val="231F20"/>
          <w:spacing w:val="-3"/>
          <w:sz w:val="24"/>
        </w:rPr>
        <w:t>Always</w:t>
      </w:r>
      <w:r>
        <w:rPr>
          <w:color w:val="231F20"/>
          <w:spacing w:val="-19"/>
          <w:sz w:val="24"/>
        </w:rPr>
        <w:t> </w:t>
      </w:r>
      <w:r>
        <w:rPr>
          <w:color w:val="231F20"/>
          <w:spacing w:val="-3"/>
          <w:sz w:val="24"/>
        </w:rPr>
        <w:t>remain</w:t>
      </w:r>
      <w:r>
        <w:rPr>
          <w:color w:val="231F20"/>
          <w:spacing w:val="-19"/>
          <w:sz w:val="24"/>
        </w:rPr>
        <w:t> </w:t>
      </w:r>
      <w:r>
        <w:rPr>
          <w:color w:val="231F20"/>
          <w:spacing w:val="-3"/>
          <w:sz w:val="24"/>
        </w:rPr>
        <w:t>alert</w:t>
      </w:r>
      <w:r>
        <w:rPr>
          <w:color w:val="231F20"/>
          <w:spacing w:val="-19"/>
          <w:sz w:val="24"/>
        </w:rPr>
        <w:t> </w:t>
      </w:r>
      <w:r>
        <w:rPr>
          <w:color w:val="231F20"/>
          <w:sz w:val="24"/>
        </w:rPr>
        <w:t>to</w:t>
      </w:r>
      <w:r>
        <w:rPr>
          <w:color w:val="231F20"/>
          <w:spacing w:val="-19"/>
          <w:sz w:val="24"/>
        </w:rPr>
        <w:t> </w:t>
      </w:r>
      <w:r>
        <w:rPr>
          <w:color w:val="231F20"/>
          <w:sz w:val="24"/>
        </w:rPr>
        <w:t>the</w:t>
      </w:r>
      <w:r>
        <w:rPr>
          <w:color w:val="231F20"/>
          <w:spacing w:val="-19"/>
          <w:sz w:val="24"/>
        </w:rPr>
        <w:t> </w:t>
      </w:r>
      <w:r>
        <w:rPr>
          <w:color w:val="231F20"/>
          <w:spacing w:val="-3"/>
          <w:sz w:val="24"/>
        </w:rPr>
        <w:t>equipment</w:t>
      </w:r>
      <w:r>
        <w:rPr>
          <w:color w:val="231F20"/>
          <w:spacing w:val="-19"/>
          <w:sz w:val="24"/>
        </w:rPr>
        <w:t> </w:t>
      </w:r>
      <w:r>
        <w:rPr>
          <w:color w:val="231F20"/>
          <w:spacing w:val="-3"/>
          <w:sz w:val="24"/>
        </w:rPr>
        <w:t>moving</w:t>
      </w:r>
      <w:r>
        <w:rPr>
          <w:color w:val="231F20"/>
          <w:spacing w:val="-19"/>
          <w:sz w:val="24"/>
        </w:rPr>
        <w:t> </w:t>
      </w:r>
      <w:r>
        <w:rPr>
          <w:color w:val="231F20"/>
          <w:spacing w:val="-3"/>
          <w:sz w:val="24"/>
        </w:rPr>
        <w:t>around</w:t>
      </w:r>
      <w:r>
        <w:rPr>
          <w:color w:val="231F20"/>
          <w:spacing w:val="-19"/>
          <w:sz w:val="24"/>
        </w:rPr>
        <w:t> </w:t>
      </w:r>
      <w:r>
        <w:rPr>
          <w:color w:val="231F20"/>
          <w:spacing w:val="-3"/>
          <w:sz w:val="24"/>
        </w:rPr>
        <w:t>you</w:t>
      </w:r>
    </w:p>
    <w:p>
      <w:pPr>
        <w:pStyle w:val="ListParagraph"/>
        <w:numPr>
          <w:ilvl w:val="0"/>
          <w:numId w:val="1"/>
        </w:numPr>
        <w:tabs>
          <w:tab w:pos="730" w:val="left" w:leader="none"/>
        </w:tabs>
        <w:spacing w:line="240" w:lineRule="auto" w:before="12" w:after="0"/>
        <w:ind w:left="730" w:right="0" w:hanging="270"/>
        <w:jc w:val="left"/>
        <w:rPr>
          <w:sz w:val="24"/>
        </w:rPr>
      </w:pPr>
      <w:r>
        <w:rPr>
          <w:color w:val="231F20"/>
          <w:sz w:val="24"/>
        </w:rPr>
        <w:t>Do not get near moving equipment unless</w:t>
      </w:r>
      <w:r>
        <w:rPr>
          <w:color w:val="231F20"/>
          <w:spacing w:val="-9"/>
          <w:sz w:val="24"/>
        </w:rPr>
        <w:t> </w:t>
      </w:r>
      <w:r>
        <w:rPr>
          <w:color w:val="231F20"/>
          <w:spacing w:val="-3"/>
          <w:sz w:val="24"/>
        </w:rPr>
        <w:t>necessary.</w:t>
      </w:r>
    </w:p>
    <w:p>
      <w:pPr>
        <w:pStyle w:val="ListParagraph"/>
        <w:numPr>
          <w:ilvl w:val="0"/>
          <w:numId w:val="1"/>
        </w:numPr>
        <w:tabs>
          <w:tab w:pos="730" w:val="left" w:leader="none"/>
        </w:tabs>
        <w:spacing w:line="249" w:lineRule="auto" w:before="12" w:after="0"/>
        <w:ind w:left="730" w:right="3786" w:hanging="270"/>
        <w:jc w:val="both"/>
        <w:rPr>
          <w:sz w:val="24"/>
        </w:rPr>
      </w:pPr>
      <w:r>
        <w:rPr>
          <w:color w:val="231F20"/>
          <w:sz w:val="24"/>
        </w:rPr>
        <w:t>Never ride on equipment unless it has been designed to</w:t>
      </w:r>
      <w:r>
        <w:rPr>
          <w:color w:val="231F20"/>
          <w:spacing w:val="-8"/>
          <w:sz w:val="24"/>
        </w:rPr>
        <w:t> </w:t>
      </w:r>
      <w:r>
        <w:rPr>
          <w:color w:val="231F20"/>
          <w:sz w:val="24"/>
        </w:rPr>
        <w:t>carry</w:t>
      </w:r>
      <w:r>
        <w:rPr>
          <w:color w:val="231F20"/>
          <w:spacing w:val="-8"/>
          <w:sz w:val="24"/>
        </w:rPr>
        <w:t> </w:t>
      </w:r>
      <w:r>
        <w:rPr>
          <w:color w:val="231F20"/>
          <w:sz w:val="24"/>
        </w:rPr>
        <w:t>you.</w:t>
      </w:r>
      <w:r>
        <w:rPr>
          <w:color w:val="231F20"/>
          <w:spacing w:val="-12"/>
          <w:sz w:val="24"/>
        </w:rPr>
        <w:t> </w:t>
      </w:r>
      <w:r>
        <w:rPr>
          <w:color w:val="231F20"/>
          <w:sz w:val="24"/>
        </w:rPr>
        <w:t>This</w:t>
      </w:r>
      <w:r>
        <w:rPr>
          <w:color w:val="231F20"/>
          <w:spacing w:val="-8"/>
          <w:sz w:val="24"/>
        </w:rPr>
        <w:t> </w:t>
      </w:r>
      <w:r>
        <w:rPr>
          <w:color w:val="231F20"/>
          <w:sz w:val="24"/>
        </w:rPr>
        <w:t>means</w:t>
      </w:r>
      <w:r>
        <w:rPr>
          <w:color w:val="231F20"/>
          <w:spacing w:val="-8"/>
          <w:sz w:val="24"/>
        </w:rPr>
        <w:t> </w:t>
      </w:r>
      <w:r>
        <w:rPr>
          <w:color w:val="231F20"/>
          <w:sz w:val="24"/>
        </w:rPr>
        <w:t>it</w:t>
      </w:r>
      <w:r>
        <w:rPr>
          <w:color w:val="231F20"/>
          <w:spacing w:val="-8"/>
          <w:sz w:val="24"/>
        </w:rPr>
        <w:t> </w:t>
      </w:r>
      <w:r>
        <w:rPr>
          <w:color w:val="231F20"/>
          <w:sz w:val="24"/>
        </w:rPr>
        <w:t>must</w:t>
      </w:r>
      <w:r>
        <w:rPr>
          <w:color w:val="231F20"/>
          <w:spacing w:val="-8"/>
          <w:sz w:val="24"/>
        </w:rPr>
        <w:t> </w:t>
      </w:r>
      <w:r>
        <w:rPr>
          <w:color w:val="231F20"/>
          <w:sz w:val="24"/>
        </w:rPr>
        <w:t>have</w:t>
      </w:r>
      <w:r>
        <w:rPr>
          <w:color w:val="231F20"/>
          <w:spacing w:val="-8"/>
          <w:sz w:val="24"/>
        </w:rPr>
        <w:t> </w:t>
      </w:r>
      <w:r>
        <w:rPr>
          <w:color w:val="231F20"/>
          <w:sz w:val="24"/>
        </w:rPr>
        <w:t>a</w:t>
      </w:r>
      <w:r>
        <w:rPr>
          <w:color w:val="231F20"/>
          <w:spacing w:val="-8"/>
          <w:sz w:val="24"/>
        </w:rPr>
        <w:t> </w:t>
      </w:r>
      <w:r>
        <w:rPr>
          <w:color w:val="231F20"/>
          <w:sz w:val="24"/>
        </w:rPr>
        <w:t>seat</w:t>
      </w:r>
      <w:r>
        <w:rPr>
          <w:color w:val="231F20"/>
          <w:spacing w:val="-8"/>
          <w:sz w:val="24"/>
        </w:rPr>
        <w:t> </w:t>
      </w:r>
      <w:r>
        <w:rPr>
          <w:color w:val="231F20"/>
          <w:sz w:val="24"/>
        </w:rPr>
        <w:t>and</w:t>
      </w:r>
      <w:r>
        <w:rPr>
          <w:color w:val="231F20"/>
          <w:spacing w:val="-8"/>
          <w:sz w:val="24"/>
        </w:rPr>
        <w:t> </w:t>
      </w:r>
      <w:r>
        <w:rPr>
          <w:color w:val="231F20"/>
          <w:sz w:val="24"/>
        </w:rPr>
        <w:t>a</w:t>
      </w:r>
      <w:r>
        <w:rPr>
          <w:color w:val="231F20"/>
          <w:spacing w:val="-8"/>
          <w:sz w:val="24"/>
        </w:rPr>
        <w:t> </w:t>
      </w:r>
      <w:r>
        <w:rPr>
          <w:color w:val="231F20"/>
          <w:sz w:val="24"/>
        </w:rPr>
        <w:t>seat belt.</w:t>
      </w:r>
    </w:p>
    <w:p>
      <w:pPr>
        <w:pStyle w:val="ListParagraph"/>
        <w:numPr>
          <w:ilvl w:val="0"/>
          <w:numId w:val="1"/>
        </w:numPr>
        <w:tabs>
          <w:tab w:pos="730" w:val="left" w:leader="none"/>
        </w:tabs>
        <w:spacing w:line="249" w:lineRule="auto" w:before="3" w:after="0"/>
        <w:ind w:left="730" w:right="3787" w:hanging="270"/>
        <w:jc w:val="both"/>
        <w:rPr>
          <w:sz w:val="24"/>
        </w:rPr>
      </w:pPr>
      <w:r>
        <w:rPr>
          <w:color w:val="231F20"/>
          <w:sz w:val="24"/>
        </w:rPr>
        <w:t>Do not walk along beside equipment. If it is necessary to travel with a piece of equipment, walk in front or behind</w:t>
      </w:r>
      <w:r>
        <w:rPr>
          <w:color w:val="231F20"/>
          <w:spacing w:val="-2"/>
          <w:sz w:val="24"/>
        </w:rPr>
        <w:t> </w:t>
      </w:r>
      <w:r>
        <w:rPr>
          <w:color w:val="231F20"/>
          <w:sz w:val="24"/>
        </w:rPr>
        <w:t>it.</w:t>
      </w:r>
    </w:p>
    <w:p>
      <w:pPr>
        <w:pStyle w:val="ListParagraph"/>
        <w:numPr>
          <w:ilvl w:val="0"/>
          <w:numId w:val="1"/>
        </w:numPr>
        <w:tabs>
          <w:tab w:pos="730" w:val="left" w:leader="none"/>
        </w:tabs>
        <w:spacing w:line="249" w:lineRule="auto" w:before="3" w:after="0"/>
        <w:ind w:left="730" w:right="159" w:hanging="270"/>
        <w:jc w:val="left"/>
        <w:rPr>
          <w:sz w:val="24"/>
        </w:rPr>
      </w:pPr>
      <w:r>
        <w:rPr>
          <w:color w:val="231F20"/>
          <w:spacing w:val="-4"/>
          <w:sz w:val="24"/>
        </w:rPr>
        <w:t>Try </w:t>
      </w:r>
      <w:r>
        <w:rPr>
          <w:color w:val="231F20"/>
          <w:sz w:val="24"/>
        </w:rPr>
        <w:t>to stay in view of the </w:t>
      </w:r>
      <w:r>
        <w:rPr>
          <w:color w:val="231F20"/>
          <w:spacing w:val="-3"/>
          <w:sz w:val="24"/>
        </w:rPr>
        <w:t>operator. </w:t>
      </w:r>
      <w:r>
        <w:rPr>
          <w:color w:val="231F20"/>
          <w:spacing w:val="-8"/>
          <w:sz w:val="24"/>
        </w:rPr>
        <w:t>You </w:t>
      </w:r>
      <w:r>
        <w:rPr>
          <w:color w:val="231F20"/>
          <w:sz w:val="24"/>
        </w:rPr>
        <w:t>must remain in view of the operator when working in an excavation or trenching if you are the “top</w:t>
      </w:r>
      <w:r>
        <w:rPr>
          <w:color w:val="231F20"/>
          <w:spacing w:val="-9"/>
          <w:sz w:val="24"/>
        </w:rPr>
        <w:t> </w:t>
      </w:r>
      <w:r>
        <w:rPr>
          <w:color w:val="231F20"/>
          <w:sz w:val="24"/>
        </w:rPr>
        <w:t>man.”</w:t>
      </w:r>
    </w:p>
    <w:p>
      <w:pPr>
        <w:pStyle w:val="BodyText"/>
        <w:spacing w:before="7"/>
        <w:rPr>
          <w:sz w:val="23"/>
        </w:rPr>
      </w:pPr>
    </w:p>
    <w:p>
      <w:pPr>
        <w:pStyle w:val="Heading3"/>
        <w:ind w:left="190"/>
      </w:pPr>
      <w:r>
        <w:rPr>
          <w:color w:val="231F20"/>
        </w:rPr>
        <w:t>Rules for Transporting Heavy Equipment</w:t>
      </w:r>
    </w:p>
    <w:p>
      <w:pPr>
        <w:pStyle w:val="ListParagraph"/>
        <w:numPr>
          <w:ilvl w:val="0"/>
          <w:numId w:val="1"/>
        </w:numPr>
        <w:tabs>
          <w:tab w:pos="730" w:val="left" w:leader="none"/>
        </w:tabs>
        <w:spacing w:line="240" w:lineRule="auto" w:before="102" w:after="0"/>
        <w:ind w:left="730" w:right="0" w:hanging="270"/>
        <w:jc w:val="left"/>
        <w:rPr>
          <w:sz w:val="24"/>
        </w:rPr>
      </w:pPr>
      <w:r>
        <w:rPr>
          <w:color w:val="231F20"/>
          <w:sz w:val="24"/>
        </w:rPr>
        <w:t>Inspect all transporting equipment and make sure it is all in good working</w:t>
      </w:r>
      <w:r>
        <w:rPr>
          <w:color w:val="231F20"/>
          <w:spacing w:val="-24"/>
          <w:sz w:val="24"/>
        </w:rPr>
        <w:t> </w:t>
      </w:r>
      <w:r>
        <w:rPr>
          <w:color w:val="231F20"/>
          <w:sz w:val="24"/>
        </w:rPr>
        <w:t>condition</w:t>
      </w:r>
    </w:p>
    <w:p>
      <w:pPr>
        <w:pStyle w:val="ListParagraph"/>
        <w:numPr>
          <w:ilvl w:val="0"/>
          <w:numId w:val="1"/>
        </w:numPr>
        <w:tabs>
          <w:tab w:pos="730" w:val="left" w:leader="none"/>
        </w:tabs>
        <w:spacing w:line="240" w:lineRule="auto" w:before="12" w:after="0"/>
        <w:ind w:left="730" w:right="0" w:hanging="270"/>
        <w:jc w:val="left"/>
        <w:rPr>
          <w:sz w:val="24"/>
        </w:rPr>
      </w:pPr>
      <w:r>
        <w:rPr>
          <w:color w:val="231F20"/>
          <w:sz w:val="24"/>
        </w:rPr>
        <w:t>Always provide for the protection of the general</w:t>
      </w:r>
      <w:r>
        <w:rPr>
          <w:color w:val="231F20"/>
          <w:spacing w:val="-8"/>
          <w:sz w:val="24"/>
        </w:rPr>
        <w:t> </w:t>
      </w:r>
      <w:r>
        <w:rPr>
          <w:color w:val="231F20"/>
          <w:sz w:val="24"/>
        </w:rPr>
        <w:t>public</w:t>
      </w:r>
    </w:p>
    <w:p>
      <w:pPr>
        <w:pStyle w:val="ListParagraph"/>
        <w:numPr>
          <w:ilvl w:val="0"/>
          <w:numId w:val="1"/>
        </w:numPr>
        <w:tabs>
          <w:tab w:pos="730" w:val="left" w:leader="none"/>
        </w:tabs>
        <w:spacing w:line="240" w:lineRule="auto" w:before="12" w:after="0"/>
        <w:ind w:left="730" w:right="0" w:hanging="270"/>
        <w:jc w:val="left"/>
        <w:rPr>
          <w:sz w:val="24"/>
        </w:rPr>
      </w:pPr>
      <w:r>
        <w:rPr>
          <w:color w:val="231F20"/>
          <w:sz w:val="24"/>
        </w:rPr>
        <w:t>Wear safety</w:t>
      </w:r>
      <w:r>
        <w:rPr>
          <w:color w:val="231F20"/>
          <w:spacing w:val="-2"/>
          <w:sz w:val="24"/>
        </w:rPr>
        <w:t> </w:t>
      </w:r>
      <w:r>
        <w:rPr>
          <w:color w:val="231F20"/>
          <w:sz w:val="24"/>
        </w:rPr>
        <w:t>shoes.</w:t>
      </w:r>
    </w:p>
    <w:p>
      <w:pPr>
        <w:pStyle w:val="ListParagraph"/>
        <w:numPr>
          <w:ilvl w:val="0"/>
          <w:numId w:val="1"/>
        </w:numPr>
        <w:tabs>
          <w:tab w:pos="730" w:val="left" w:leader="none"/>
        </w:tabs>
        <w:spacing w:line="240" w:lineRule="auto" w:before="12" w:after="0"/>
        <w:ind w:left="730" w:right="0" w:hanging="270"/>
        <w:jc w:val="left"/>
        <w:rPr>
          <w:sz w:val="24"/>
        </w:rPr>
      </w:pPr>
      <w:r>
        <w:rPr>
          <w:color w:val="231F20"/>
          <w:sz w:val="24"/>
        </w:rPr>
        <w:t>Estimate the center of gravity for the equipment to be</w:t>
      </w:r>
      <w:r>
        <w:rPr>
          <w:color w:val="231F20"/>
          <w:spacing w:val="-8"/>
          <w:sz w:val="24"/>
        </w:rPr>
        <w:t> </w:t>
      </w:r>
      <w:r>
        <w:rPr>
          <w:color w:val="231F20"/>
          <w:sz w:val="24"/>
        </w:rPr>
        <w:t>loaded.</w:t>
      </w:r>
    </w:p>
    <w:p>
      <w:pPr>
        <w:pStyle w:val="ListParagraph"/>
        <w:numPr>
          <w:ilvl w:val="0"/>
          <w:numId w:val="1"/>
        </w:numPr>
        <w:tabs>
          <w:tab w:pos="730" w:val="left" w:leader="none"/>
        </w:tabs>
        <w:spacing w:line="240" w:lineRule="auto" w:before="12" w:after="0"/>
        <w:ind w:left="730" w:right="0" w:hanging="270"/>
        <w:jc w:val="left"/>
        <w:rPr>
          <w:sz w:val="24"/>
        </w:rPr>
      </w:pPr>
      <w:r>
        <w:rPr>
          <w:color w:val="231F20"/>
          <w:sz w:val="24"/>
        </w:rPr>
        <w:t>Always load equipment slowly onto its</w:t>
      </w:r>
      <w:r>
        <w:rPr>
          <w:color w:val="231F20"/>
          <w:spacing w:val="-7"/>
          <w:sz w:val="24"/>
        </w:rPr>
        <w:t> </w:t>
      </w:r>
      <w:r>
        <w:rPr>
          <w:color w:val="231F20"/>
          <w:sz w:val="24"/>
        </w:rPr>
        <w:t>carrier.</w:t>
      </w:r>
    </w:p>
    <w:p>
      <w:pPr>
        <w:pStyle w:val="ListParagraph"/>
        <w:numPr>
          <w:ilvl w:val="0"/>
          <w:numId w:val="1"/>
        </w:numPr>
        <w:tabs>
          <w:tab w:pos="730" w:val="left" w:leader="none"/>
        </w:tabs>
        <w:spacing w:line="240" w:lineRule="auto" w:before="12" w:after="0"/>
        <w:ind w:left="730" w:right="0" w:hanging="270"/>
        <w:jc w:val="left"/>
        <w:rPr>
          <w:sz w:val="24"/>
        </w:rPr>
      </w:pPr>
      <w:r>
        <w:rPr>
          <w:color w:val="231F20"/>
          <w:sz w:val="24"/>
        </w:rPr>
        <w:t>If</w:t>
      </w:r>
      <w:r>
        <w:rPr>
          <w:color w:val="231F20"/>
          <w:spacing w:val="-11"/>
          <w:sz w:val="24"/>
        </w:rPr>
        <w:t> </w:t>
      </w:r>
      <w:r>
        <w:rPr>
          <w:color w:val="231F20"/>
          <w:sz w:val="24"/>
        </w:rPr>
        <w:t>equipment</w:t>
      </w:r>
      <w:r>
        <w:rPr>
          <w:color w:val="231F20"/>
          <w:spacing w:val="-11"/>
          <w:sz w:val="24"/>
        </w:rPr>
        <w:t> </w:t>
      </w:r>
      <w:r>
        <w:rPr>
          <w:color w:val="231F20"/>
          <w:sz w:val="24"/>
        </w:rPr>
        <w:t>is</w:t>
      </w:r>
      <w:r>
        <w:rPr>
          <w:color w:val="231F20"/>
          <w:spacing w:val="-11"/>
          <w:sz w:val="24"/>
        </w:rPr>
        <w:t> </w:t>
      </w:r>
      <w:r>
        <w:rPr>
          <w:color w:val="231F20"/>
          <w:sz w:val="24"/>
        </w:rPr>
        <w:t>to</w:t>
      </w:r>
      <w:r>
        <w:rPr>
          <w:color w:val="231F20"/>
          <w:spacing w:val="-11"/>
          <w:sz w:val="24"/>
        </w:rPr>
        <w:t> </w:t>
      </w:r>
      <w:r>
        <w:rPr>
          <w:color w:val="231F20"/>
          <w:sz w:val="24"/>
        </w:rPr>
        <w:t>be</w:t>
      </w:r>
      <w:r>
        <w:rPr>
          <w:color w:val="231F20"/>
          <w:spacing w:val="-11"/>
          <w:sz w:val="24"/>
        </w:rPr>
        <w:t> </w:t>
      </w:r>
      <w:r>
        <w:rPr>
          <w:color w:val="231F20"/>
          <w:sz w:val="24"/>
        </w:rPr>
        <w:t>driven</w:t>
      </w:r>
      <w:r>
        <w:rPr>
          <w:color w:val="231F20"/>
          <w:spacing w:val="-11"/>
          <w:sz w:val="24"/>
        </w:rPr>
        <w:t> </w:t>
      </w:r>
      <w:r>
        <w:rPr>
          <w:color w:val="231F20"/>
          <w:sz w:val="24"/>
        </w:rPr>
        <w:t>off-site,</w:t>
      </w:r>
      <w:r>
        <w:rPr>
          <w:color w:val="231F20"/>
          <w:spacing w:val="-11"/>
          <w:sz w:val="24"/>
        </w:rPr>
        <w:t> </w:t>
      </w:r>
      <w:r>
        <w:rPr>
          <w:color w:val="231F20"/>
          <w:sz w:val="24"/>
        </w:rPr>
        <w:t>make</w:t>
      </w:r>
      <w:r>
        <w:rPr>
          <w:color w:val="231F20"/>
          <w:spacing w:val="-11"/>
          <w:sz w:val="24"/>
        </w:rPr>
        <w:t> </w:t>
      </w:r>
      <w:r>
        <w:rPr>
          <w:color w:val="231F20"/>
          <w:sz w:val="24"/>
        </w:rPr>
        <w:t>sure</w:t>
      </w:r>
      <w:r>
        <w:rPr>
          <w:color w:val="231F20"/>
          <w:spacing w:val="-11"/>
          <w:sz w:val="24"/>
        </w:rPr>
        <w:t> </w:t>
      </w:r>
      <w:r>
        <w:rPr>
          <w:color w:val="231F20"/>
          <w:sz w:val="24"/>
        </w:rPr>
        <w:t>the</w:t>
      </w:r>
      <w:r>
        <w:rPr>
          <w:color w:val="231F20"/>
          <w:spacing w:val="-11"/>
          <w:sz w:val="24"/>
        </w:rPr>
        <w:t> </w:t>
      </w:r>
      <w:r>
        <w:rPr>
          <w:color w:val="231F20"/>
          <w:sz w:val="24"/>
        </w:rPr>
        <w:t>steering,</w:t>
      </w:r>
      <w:r>
        <w:rPr>
          <w:color w:val="231F20"/>
          <w:spacing w:val="-11"/>
          <w:sz w:val="24"/>
        </w:rPr>
        <w:t> </w:t>
      </w:r>
      <w:r>
        <w:rPr>
          <w:color w:val="231F20"/>
          <w:sz w:val="24"/>
        </w:rPr>
        <w:t>braking,</w:t>
      </w:r>
      <w:r>
        <w:rPr>
          <w:color w:val="231F20"/>
          <w:spacing w:val="-11"/>
          <w:sz w:val="24"/>
        </w:rPr>
        <w:t> </w:t>
      </w:r>
      <w:r>
        <w:rPr>
          <w:color w:val="231F20"/>
          <w:sz w:val="24"/>
        </w:rPr>
        <w:t>and</w:t>
      </w:r>
      <w:r>
        <w:rPr>
          <w:color w:val="231F20"/>
          <w:spacing w:val="-11"/>
          <w:sz w:val="24"/>
        </w:rPr>
        <w:t> </w:t>
      </w:r>
      <w:r>
        <w:rPr>
          <w:color w:val="231F20"/>
          <w:sz w:val="24"/>
        </w:rPr>
        <w:t>light</w:t>
      </w:r>
      <w:r>
        <w:rPr>
          <w:color w:val="231F20"/>
          <w:spacing w:val="-11"/>
          <w:sz w:val="24"/>
        </w:rPr>
        <w:t> </w:t>
      </w:r>
      <w:r>
        <w:rPr>
          <w:color w:val="231F20"/>
          <w:sz w:val="24"/>
        </w:rPr>
        <w:t>systems</w:t>
      </w:r>
      <w:r>
        <w:rPr>
          <w:color w:val="231F20"/>
          <w:spacing w:val="-11"/>
          <w:sz w:val="24"/>
        </w:rPr>
        <w:t> </w:t>
      </w:r>
      <w:r>
        <w:rPr>
          <w:color w:val="231F20"/>
          <w:sz w:val="24"/>
        </w:rPr>
        <w:t>are</w:t>
      </w:r>
    </w:p>
    <w:p>
      <w:pPr>
        <w:pStyle w:val="BodyText"/>
        <w:spacing w:before="12"/>
        <w:ind w:left="730"/>
      </w:pPr>
      <w:r>
        <w:rPr>
          <w:color w:val="231F20"/>
        </w:rPr>
        <w:t>in good operating condition.</w:t>
      </w:r>
    </w:p>
    <w:p>
      <w:pPr>
        <w:pStyle w:val="ListParagraph"/>
        <w:numPr>
          <w:ilvl w:val="0"/>
          <w:numId w:val="1"/>
        </w:numPr>
        <w:tabs>
          <w:tab w:pos="730" w:val="left" w:leader="none"/>
        </w:tabs>
        <w:spacing w:line="240" w:lineRule="auto" w:before="12" w:after="0"/>
        <w:ind w:left="730" w:right="0" w:hanging="270"/>
        <w:jc w:val="left"/>
        <w:rPr>
          <w:sz w:val="24"/>
        </w:rPr>
      </w:pPr>
      <w:r>
        <w:rPr>
          <w:color w:val="231F20"/>
          <w:sz w:val="24"/>
        </w:rPr>
        <w:t>Tightly secure the piece of equipment to its</w:t>
      </w:r>
      <w:r>
        <w:rPr>
          <w:color w:val="231F20"/>
          <w:spacing w:val="-10"/>
          <w:sz w:val="24"/>
        </w:rPr>
        <w:t> </w:t>
      </w:r>
      <w:r>
        <w:rPr>
          <w:color w:val="231F20"/>
          <w:sz w:val="24"/>
        </w:rPr>
        <w:t>carrier.</w:t>
      </w:r>
    </w:p>
    <w:p>
      <w:pPr>
        <w:pStyle w:val="ListParagraph"/>
        <w:numPr>
          <w:ilvl w:val="0"/>
          <w:numId w:val="1"/>
        </w:numPr>
        <w:tabs>
          <w:tab w:pos="730" w:val="left" w:leader="none"/>
        </w:tabs>
        <w:spacing w:line="249" w:lineRule="auto" w:before="12" w:after="0"/>
        <w:ind w:left="730" w:right="157" w:hanging="270"/>
        <w:jc w:val="left"/>
        <w:rPr>
          <w:sz w:val="24"/>
        </w:rPr>
      </w:pPr>
      <w:r>
        <w:rPr>
          <w:color w:val="231F20"/>
          <w:sz w:val="24"/>
        </w:rPr>
        <w:t>Be sure that the boom or any other extensions of the equipment are tightly secured. If working with others, be sure to work as a</w:t>
      </w:r>
      <w:r>
        <w:rPr>
          <w:color w:val="231F20"/>
          <w:spacing w:val="-10"/>
          <w:sz w:val="24"/>
        </w:rPr>
        <w:t> </w:t>
      </w:r>
      <w:r>
        <w:rPr>
          <w:color w:val="231F20"/>
          <w:sz w:val="24"/>
        </w:rPr>
        <w:t>team.</w:t>
      </w:r>
    </w:p>
    <w:p>
      <w:pPr>
        <w:pStyle w:val="ListParagraph"/>
        <w:numPr>
          <w:ilvl w:val="0"/>
          <w:numId w:val="1"/>
        </w:numPr>
        <w:tabs>
          <w:tab w:pos="730" w:val="left" w:leader="none"/>
        </w:tabs>
        <w:spacing w:line="240" w:lineRule="auto" w:before="2" w:after="0"/>
        <w:ind w:left="730" w:right="0" w:hanging="270"/>
        <w:jc w:val="left"/>
        <w:rPr>
          <w:sz w:val="24"/>
        </w:rPr>
      </w:pPr>
      <w:r>
        <w:rPr>
          <w:color w:val="231F20"/>
          <w:sz w:val="24"/>
        </w:rPr>
        <w:t>Keep your hands dry and as free of grease and oil as</w:t>
      </w:r>
      <w:r>
        <w:rPr>
          <w:color w:val="231F20"/>
          <w:spacing w:val="-16"/>
          <w:sz w:val="24"/>
        </w:rPr>
        <w:t> </w:t>
      </w:r>
      <w:r>
        <w:rPr>
          <w:color w:val="231F20"/>
          <w:sz w:val="24"/>
        </w:rPr>
        <w:t>possible.</w:t>
      </w:r>
    </w:p>
    <w:p>
      <w:pPr>
        <w:pStyle w:val="ListParagraph"/>
        <w:numPr>
          <w:ilvl w:val="0"/>
          <w:numId w:val="1"/>
        </w:numPr>
        <w:tabs>
          <w:tab w:pos="730" w:val="left" w:leader="none"/>
        </w:tabs>
        <w:spacing w:line="240" w:lineRule="auto" w:before="12" w:after="0"/>
        <w:ind w:left="730" w:right="0" w:hanging="270"/>
        <w:jc w:val="left"/>
        <w:rPr>
          <w:sz w:val="24"/>
        </w:rPr>
      </w:pPr>
      <w:r>
        <w:rPr>
          <w:color w:val="231F20"/>
          <w:sz w:val="24"/>
        </w:rPr>
        <w:t>Always keep the loading area free of debris and unnecessary</w:t>
      </w:r>
      <w:r>
        <w:rPr>
          <w:color w:val="231F20"/>
          <w:spacing w:val="-12"/>
          <w:sz w:val="24"/>
        </w:rPr>
        <w:t> </w:t>
      </w:r>
      <w:r>
        <w:rPr>
          <w:color w:val="231F20"/>
          <w:sz w:val="24"/>
        </w:rPr>
        <w:t>tools.</w:t>
      </w:r>
    </w:p>
    <w:p>
      <w:pPr>
        <w:pStyle w:val="BodyText"/>
        <w:rPr>
          <w:sz w:val="15"/>
        </w:rPr>
      </w:pPr>
      <w:r>
        <w:rPr/>
        <w:pict>
          <v:line style="position:absolute;mso-position-horizontal-relative:page;mso-position-vertical-relative:paragraph;z-index:1048;mso-wrap-distance-left:0;mso-wrap-distance-right:0" from="54pt,11.09897pt" to="558pt,11.09897pt" stroked="true" strokeweight="1pt" strokecolor="#40ad49">
            <v:stroke dashstyle="solid"/>
            <w10:wrap type="topAndBottom"/>
          </v:line>
        </w:pict>
      </w:r>
      <w:r>
        <w:rPr/>
        <w:drawing>
          <wp:anchor distT="0" distB="0" distL="0" distR="0" allowOverlap="1" layoutInCell="1" locked="0" behindDoc="0" simplePos="0" relativeHeight="1072">
            <wp:simplePos x="0" y="0"/>
            <wp:positionH relativeFrom="page">
              <wp:posOffset>723900</wp:posOffset>
            </wp:positionH>
            <wp:positionV relativeFrom="paragraph">
              <wp:posOffset>260984</wp:posOffset>
            </wp:positionV>
            <wp:extent cx="1565914" cy="960119"/>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65914" cy="96011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6.5pt;margin-top:20.098970pt;width:251pt;height:84.5pt;mso-position-horizontal-relative:page;mso-position-vertical-relative:paragraph;z-index:1096;mso-wrap-distance-left:0;mso-wrap-distance-right:0" type="#_x0000_t202" filled="false" stroked="true" strokeweight="1pt" strokecolor="#40ad49">
            <v:textbox inset="0,0,0,0">
              <w:txbxContent>
                <w:p>
                  <w:pPr>
                    <w:pStyle w:val="BodyText"/>
                    <w:spacing w:before="3"/>
                    <w:rPr>
                      <w:sz w:val="31"/>
                    </w:rPr>
                  </w:pPr>
                </w:p>
                <w:p>
                  <w:pPr>
                    <w:spacing w:line="249" w:lineRule="auto" w:before="0"/>
                    <w:ind w:left="180" w:right="181" w:firstLine="0"/>
                    <w:jc w:val="both"/>
                    <w:rPr>
                      <w:i/>
                      <w:sz w:val="20"/>
                    </w:rPr>
                  </w:pPr>
                  <w:r>
                    <w:rPr>
                      <w:i/>
                      <w:color w:val="231F20"/>
                      <w:sz w:val="20"/>
                    </w:rPr>
                    <w:t>Everyday Safety </w:t>
                  </w:r>
                  <w:r>
                    <w:rPr>
                      <w:i/>
                      <w:color w:val="231F20"/>
                      <w:spacing w:val="-5"/>
                      <w:sz w:val="20"/>
                    </w:rPr>
                    <w:t>Tailgate </w:t>
                  </w:r>
                  <w:r>
                    <w:rPr>
                      <w:i/>
                      <w:color w:val="231F20"/>
                      <w:spacing w:val="-6"/>
                      <w:sz w:val="20"/>
                    </w:rPr>
                    <w:t>Talks </w:t>
                  </w:r>
                  <w:r>
                    <w:rPr>
                      <w:i/>
                      <w:color w:val="231F20"/>
                      <w:sz w:val="20"/>
                    </w:rPr>
                    <w:t>are </w:t>
                  </w:r>
                  <w:r>
                    <w:rPr>
                      <w:i/>
                      <w:color w:val="231F20"/>
                      <w:spacing w:val="-3"/>
                      <w:sz w:val="20"/>
                    </w:rPr>
                    <w:t>published </w:t>
                  </w:r>
                  <w:r>
                    <w:rPr>
                      <w:i/>
                      <w:color w:val="231F20"/>
                      <w:sz w:val="20"/>
                    </w:rPr>
                    <w:t>by </w:t>
                  </w:r>
                  <w:r>
                    <w:rPr>
                      <w:i/>
                      <w:color w:val="231F20"/>
                      <w:spacing w:val="-2"/>
                      <w:sz w:val="20"/>
                    </w:rPr>
                    <w:t>the </w:t>
                  </w:r>
                  <w:r>
                    <w:rPr>
                      <w:i/>
                      <w:color w:val="231F20"/>
                      <w:spacing w:val="-3"/>
                      <w:sz w:val="20"/>
                    </w:rPr>
                    <w:t>Cornell Local Roads </w:t>
                  </w:r>
                  <w:r>
                    <w:rPr>
                      <w:i/>
                      <w:color w:val="231F20"/>
                      <w:sz w:val="20"/>
                    </w:rPr>
                    <w:t>Program in cooperation </w:t>
                  </w:r>
                  <w:r>
                    <w:rPr>
                      <w:i/>
                      <w:color w:val="231F20"/>
                      <w:spacing w:val="-3"/>
                      <w:sz w:val="20"/>
                    </w:rPr>
                    <w:t>with </w:t>
                  </w:r>
                  <w:r>
                    <w:rPr>
                      <w:i/>
                      <w:color w:val="231F20"/>
                      <w:spacing w:val="-2"/>
                      <w:sz w:val="20"/>
                    </w:rPr>
                    <w:t>the </w:t>
                  </w:r>
                  <w:r>
                    <w:rPr>
                      <w:i/>
                      <w:color w:val="231F20"/>
                      <w:spacing w:val="-3"/>
                      <w:sz w:val="20"/>
                    </w:rPr>
                    <w:t>National Local </w:t>
                  </w:r>
                  <w:r>
                    <w:rPr>
                      <w:i/>
                      <w:color w:val="231F20"/>
                      <w:spacing w:val="-5"/>
                      <w:sz w:val="20"/>
                    </w:rPr>
                    <w:t>Technical </w:t>
                  </w:r>
                  <w:r>
                    <w:rPr>
                      <w:i/>
                      <w:color w:val="231F20"/>
                      <w:sz w:val="20"/>
                    </w:rPr>
                    <w:t>Assistance Association </w:t>
                  </w:r>
                  <w:r>
                    <w:rPr>
                      <w:i/>
                      <w:color w:val="231F20"/>
                      <w:spacing w:val="-3"/>
                      <w:sz w:val="20"/>
                    </w:rPr>
                    <w:t>and participating partner organizations.</w:t>
                  </w:r>
                </w:p>
              </w:txbxContent>
            </v:textbox>
            <v:stroke dashstyle="solid"/>
            <w10:wrap type="topAndBottom"/>
          </v:shape>
        </w:pict>
      </w:r>
    </w:p>
    <w:p>
      <w:pPr>
        <w:pStyle w:val="BodyText"/>
        <w:rPr>
          <w:sz w:val="8"/>
        </w:rPr>
      </w:pPr>
    </w:p>
    <w:p>
      <w:pPr>
        <w:spacing w:after="0"/>
        <w:rPr>
          <w:sz w:val="8"/>
        </w:rPr>
        <w:sectPr>
          <w:type w:val="continuous"/>
          <w:pgSz w:w="12240" w:h="15840"/>
          <w:pgMar w:top="440" w:bottom="280" w:left="980" w:right="920"/>
        </w:sectPr>
      </w:pPr>
    </w:p>
    <w:p>
      <w:pPr>
        <w:pStyle w:val="BodyText"/>
        <w:spacing w:before="11"/>
        <w:rPr>
          <w:sz w:val="9"/>
        </w:rPr>
      </w:pPr>
    </w:p>
    <w:p>
      <w:pPr>
        <w:pStyle w:val="Heading2"/>
        <w:rPr>
          <w:i/>
        </w:rPr>
      </w:pPr>
      <w:r>
        <w:rPr>
          <w:i/>
        </w:rPr>
        <w:t>Action Item:</w:t>
      </w:r>
    </w:p>
    <w:p>
      <w:pPr>
        <w:pStyle w:val="BodyText"/>
        <w:spacing w:before="3"/>
        <w:rPr>
          <w:b/>
          <w:i/>
          <w:sz w:val="31"/>
        </w:rPr>
      </w:pPr>
    </w:p>
    <w:p>
      <w:pPr>
        <w:pStyle w:val="Heading3"/>
      </w:pPr>
      <w:r>
        <w:rPr>
          <w:color w:val="231F20"/>
        </w:rPr>
        <w:t>For Equipment Operators:</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Be sure that all moveable equipment is either accompanied by a signal person or</w:t>
      </w:r>
      <w:r>
        <w:rPr>
          <w:color w:val="231F20"/>
          <w:spacing w:val="-37"/>
          <w:sz w:val="24"/>
        </w:rPr>
        <w:t> </w:t>
      </w:r>
      <w:r>
        <w:rPr>
          <w:color w:val="231F20"/>
          <w:sz w:val="24"/>
        </w:rPr>
        <w:t>has</w:t>
      </w:r>
    </w:p>
    <w:p>
      <w:pPr>
        <w:pStyle w:val="BodyText"/>
        <w:spacing w:before="12"/>
        <w:ind w:left="820"/>
      </w:pPr>
      <w:r>
        <w:rPr>
          <w:color w:val="231F20"/>
        </w:rPr>
        <w:t>an operational back-up alarm.</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Be aware of all overhead power lines and the possible effect on equipment</w:t>
      </w:r>
      <w:r>
        <w:rPr>
          <w:color w:val="231F20"/>
          <w:spacing w:val="-46"/>
          <w:sz w:val="24"/>
        </w:rPr>
        <w:t> </w:t>
      </w:r>
      <w:r>
        <w:rPr>
          <w:color w:val="231F20"/>
          <w:sz w:val="24"/>
        </w:rPr>
        <w:t>operating</w:t>
      </w:r>
    </w:p>
    <w:p>
      <w:pPr>
        <w:pStyle w:val="BodyText"/>
        <w:spacing w:before="12"/>
        <w:ind w:left="820"/>
      </w:pPr>
      <w:r>
        <w:rPr>
          <w:color w:val="231F20"/>
        </w:rPr>
        <w:t>within the close vicinity. Keep crane booms at least 10 feet from all power lines.</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Always lock out the equipment before it is to be lubricated, adjusted or</w:t>
      </w:r>
      <w:r>
        <w:rPr>
          <w:color w:val="231F20"/>
          <w:spacing w:val="-31"/>
          <w:sz w:val="24"/>
        </w:rPr>
        <w:t> </w:t>
      </w:r>
      <w:r>
        <w:rPr>
          <w:color w:val="231F20"/>
          <w:sz w:val="24"/>
        </w:rPr>
        <w:t>repaired.</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Always replace gears, belts, or any other guards after repair or</w:t>
      </w:r>
      <w:r>
        <w:rPr>
          <w:color w:val="231F20"/>
          <w:spacing w:val="-24"/>
          <w:sz w:val="24"/>
        </w:rPr>
        <w:t> </w:t>
      </w:r>
      <w:r>
        <w:rPr>
          <w:color w:val="231F20"/>
          <w:sz w:val="24"/>
        </w:rPr>
        <w:t>adjustment.</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Always secure and lock out equipment upon completion of</w:t>
      </w:r>
      <w:r>
        <w:rPr>
          <w:color w:val="231F20"/>
          <w:spacing w:val="-10"/>
          <w:sz w:val="24"/>
        </w:rPr>
        <w:t> </w:t>
      </w:r>
      <w:r>
        <w:rPr>
          <w:color w:val="231F20"/>
          <w:sz w:val="24"/>
        </w:rPr>
        <w:t>use.</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Be sure to protect the glass areas of cabs with either metal grates or wood</w:t>
      </w:r>
      <w:r>
        <w:rPr>
          <w:color w:val="231F20"/>
          <w:spacing w:val="-29"/>
          <w:sz w:val="24"/>
        </w:rPr>
        <w:t> </w:t>
      </w:r>
      <w:r>
        <w:rPr>
          <w:color w:val="231F20"/>
          <w:sz w:val="24"/>
        </w:rPr>
        <w:t>covers.</w:t>
      </w:r>
    </w:p>
    <w:p>
      <w:pPr>
        <w:pStyle w:val="BodyText"/>
        <w:spacing w:before="4"/>
        <w:rPr>
          <w:sz w:val="32"/>
        </w:rPr>
      </w:pPr>
    </w:p>
    <w:p>
      <w:pPr>
        <w:pStyle w:val="Heading3"/>
      </w:pPr>
      <w:r>
        <w:rPr>
          <w:color w:val="231F20"/>
        </w:rPr>
        <w:t>For Workers:</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Always be alert to the position of the equipment around</w:t>
      </w:r>
      <w:r>
        <w:rPr>
          <w:color w:val="231F20"/>
          <w:spacing w:val="-11"/>
          <w:sz w:val="24"/>
        </w:rPr>
        <w:t> </w:t>
      </w:r>
      <w:r>
        <w:rPr>
          <w:color w:val="231F20"/>
          <w:sz w:val="24"/>
        </w:rPr>
        <w:t>you.</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Only authorized personnel are allowed to operate the</w:t>
      </w:r>
      <w:r>
        <w:rPr>
          <w:color w:val="231F20"/>
          <w:spacing w:val="-12"/>
          <w:sz w:val="24"/>
        </w:rPr>
        <w:t> </w:t>
      </w:r>
      <w:r>
        <w:rPr>
          <w:color w:val="231F20"/>
          <w:sz w:val="24"/>
        </w:rPr>
        <w:t>equipment.</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Never ride the equipment unless it is designed for</w:t>
      </w:r>
      <w:r>
        <w:rPr>
          <w:color w:val="231F20"/>
          <w:spacing w:val="-11"/>
          <w:sz w:val="24"/>
        </w:rPr>
        <w:t> </w:t>
      </w:r>
      <w:r>
        <w:rPr>
          <w:color w:val="231F20"/>
          <w:sz w:val="24"/>
        </w:rPr>
        <w:t>it.</w:t>
      </w:r>
    </w:p>
    <w:p>
      <w:pPr>
        <w:pStyle w:val="ListParagraph"/>
        <w:numPr>
          <w:ilvl w:val="1"/>
          <w:numId w:val="1"/>
        </w:numPr>
        <w:tabs>
          <w:tab w:pos="820" w:val="left" w:leader="none"/>
        </w:tabs>
        <w:spacing w:line="240" w:lineRule="auto" w:before="192" w:after="0"/>
        <w:ind w:left="820" w:right="0" w:hanging="270"/>
        <w:jc w:val="left"/>
        <w:rPr>
          <w:sz w:val="24"/>
        </w:rPr>
      </w:pPr>
      <w:r>
        <w:rPr>
          <w:color w:val="231F20"/>
          <w:sz w:val="24"/>
        </w:rPr>
        <w:t>Always keep away from suspended</w:t>
      </w:r>
      <w:r>
        <w:rPr>
          <w:color w:val="231F20"/>
          <w:spacing w:val="-2"/>
          <w:sz w:val="24"/>
        </w:rPr>
        <w:t> </w:t>
      </w:r>
      <w:r>
        <w:rPr>
          <w:color w:val="231F20"/>
          <w:sz w:val="24"/>
        </w:rPr>
        <w:t>loads.</w:t>
      </w:r>
    </w:p>
    <w:p>
      <w:pPr>
        <w:pStyle w:val="ListParagraph"/>
        <w:numPr>
          <w:ilvl w:val="1"/>
          <w:numId w:val="1"/>
        </w:numPr>
        <w:tabs>
          <w:tab w:pos="820" w:val="left" w:leader="none"/>
        </w:tabs>
        <w:spacing w:line="249" w:lineRule="auto" w:before="192" w:after="0"/>
        <w:ind w:left="820" w:right="582" w:hanging="270"/>
        <w:jc w:val="left"/>
        <w:rPr>
          <w:sz w:val="24"/>
        </w:rPr>
      </w:pPr>
      <w:r>
        <w:rPr>
          <w:color w:val="231F20"/>
          <w:sz w:val="24"/>
        </w:rPr>
        <w:t>When working as a signal person, be aware of all overhead power lines. Keep</w:t>
      </w:r>
      <w:r>
        <w:rPr>
          <w:color w:val="231F20"/>
          <w:spacing w:val="-47"/>
          <w:sz w:val="24"/>
        </w:rPr>
        <w:t> </w:t>
      </w:r>
      <w:r>
        <w:rPr>
          <w:color w:val="231F20"/>
          <w:sz w:val="24"/>
        </w:rPr>
        <w:t>crane booms at least 10 feet from all power</w:t>
      </w:r>
      <w:r>
        <w:rPr>
          <w:color w:val="231F20"/>
          <w:spacing w:val="-9"/>
          <w:sz w:val="24"/>
        </w:rPr>
        <w:t> </w:t>
      </w:r>
      <w:r>
        <w:rPr>
          <w:color w:val="231F20"/>
          <w:sz w:val="24"/>
        </w:rPr>
        <w:t>lines.</w:t>
      </w:r>
    </w:p>
    <w:p>
      <w:pPr>
        <w:pStyle w:val="ListParagraph"/>
        <w:numPr>
          <w:ilvl w:val="1"/>
          <w:numId w:val="1"/>
        </w:numPr>
        <w:tabs>
          <w:tab w:pos="820" w:val="left" w:leader="none"/>
        </w:tabs>
        <w:spacing w:line="240" w:lineRule="auto" w:before="182" w:after="0"/>
        <w:ind w:left="820" w:right="0" w:hanging="270"/>
        <w:jc w:val="left"/>
        <w:rPr>
          <w:sz w:val="24"/>
        </w:rPr>
      </w:pPr>
      <w:r>
        <w:rPr>
          <w:color w:val="231F20"/>
          <w:sz w:val="24"/>
        </w:rPr>
        <w:t>Never take naps, breaks, or lunch around heavy</w:t>
      </w:r>
      <w:r>
        <w:rPr>
          <w:color w:val="231F20"/>
          <w:spacing w:val="-13"/>
          <w:sz w:val="24"/>
        </w:rPr>
        <w:t> </w:t>
      </w:r>
      <w:r>
        <w:rPr>
          <w:color w:val="231F20"/>
          <w:sz w:val="24"/>
        </w:rPr>
        <w:t>equipment.</w:t>
      </w:r>
    </w:p>
    <w:p>
      <w:pPr>
        <w:pStyle w:val="BodyText"/>
        <w:rPr>
          <w:sz w:val="26"/>
        </w:rPr>
      </w:pPr>
    </w:p>
    <w:p>
      <w:pPr>
        <w:pStyle w:val="BodyText"/>
        <w:spacing w:before="5"/>
        <w:rPr>
          <w:sz w:val="31"/>
        </w:rPr>
      </w:pPr>
    </w:p>
    <w:p>
      <w:pPr>
        <w:pStyle w:val="BodyText"/>
        <w:spacing w:line="249" w:lineRule="auto"/>
        <w:ind w:left="100" w:right="134"/>
      </w:pPr>
      <w:r>
        <w:rPr>
          <w:color w:val="231F20"/>
        </w:rPr>
        <w:t>Remember: The best policy around heavy equipment is to take no chances. Be aware of what is going on around you—both workers and equipment operators.</w:t>
      </w:r>
    </w:p>
    <w:p>
      <w:pPr>
        <w:pStyle w:val="Heading2"/>
        <w:spacing w:before="198"/>
        <w:rPr>
          <w:i/>
        </w:rPr>
      </w:pPr>
      <w:r>
        <w:rPr>
          <w:i/>
        </w:rPr>
        <w:t>Related Topics:</w:t>
      </w:r>
    </w:p>
    <w:p>
      <w:pPr>
        <w:pStyle w:val="BodyText"/>
        <w:rPr>
          <w:b/>
          <w:i/>
          <w:sz w:val="34"/>
        </w:rPr>
      </w:pPr>
    </w:p>
    <w:p>
      <w:pPr>
        <w:spacing w:before="272"/>
        <w:ind w:left="100" w:right="0" w:firstLine="0"/>
        <w:jc w:val="left"/>
        <w:rPr>
          <w:b/>
          <w:i/>
          <w:sz w:val="30"/>
        </w:rPr>
      </w:pPr>
      <w:r>
        <w:rPr>
          <w:b/>
          <w:i/>
          <w:sz w:val="30"/>
        </w:rPr>
        <w:t>Resources and References:</w:t>
      </w:r>
    </w:p>
    <w:p>
      <w:pPr>
        <w:pStyle w:val="BodyText"/>
        <w:spacing w:before="179"/>
        <w:ind w:left="100"/>
      </w:pPr>
      <w:r>
        <w:rPr/>
        <w:t>OSHA 1926.600(a)</w:t>
      </w:r>
    </w:p>
    <w:p>
      <w:pPr>
        <w:spacing w:line="249" w:lineRule="auto" w:before="12"/>
        <w:ind w:left="100" w:right="0" w:firstLine="0"/>
        <w:jc w:val="left"/>
        <w:rPr>
          <w:i/>
          <w:sz w:val="24"/>
        </w:rPr>
      </w:pPr>
      <w:hyperlink r:id="rId10">
        <w:r>
          <w:rPr>
            <w:i/>
            <w:color w:val="008BBF"/>
            <w:sz w:val="24"/>
          </w:rPr>
          <w:t>https://www.osha.gov/pls/oshaweb/owadisp.show_document?p_table=STANDARDS&amp;p_</w:t>
        </w:r>
      </w:hyperlink>
      <w:r>
        <w:rPr>
          <w:i/>
          <w:color w:val="008BBF"/>
          <w:sz w:val="24"/>
        </w:rPr>
        <w:t> </w:t>
      </w:r>
      <w:hyperlink r:id="rId10">
        <w:r>
          <w:rPr>
            <w:i/>
            <w:color w:val="008BBF"/>
            <w:sz w:val="24"/>
          </w:rPr>
          <w:t>id=10767</w:t>
        </w:r>
      </w:hyperlink>
    </w:p>
    <w:p>
      <w:pPr>
        <w:spacing w:line="249" w:lineRule="auto" w:before="182"/>
        <w:ind w:left="100" w:right="0" w:firstLine="0"/>
        <w:jc w:val="left"/>
        <w:rPr>
          <w:i/>
          <w:sz w:val="24"/>
        </w:rPr>
      </w:pPr>
      <w:r>
        <w:rPr>
          <w:color w:val="231F20"/>
          <w:sz w:val="24"/>
        </w:rPr>
        <w:t>OSHA Heavy Equipment and Powered Industrial Truck Use Webpage: </w:t>
      </w:r>
      <w:hyperlink r:id="rId10">
        <w:r>
          <w:rPr>
            <w:i/>
            <w:color w:val="008BBF"/>
            <w:sz w:val="24"/>
          </w:rPr>
          <w:t>https://www.osha.gov/pls/oshaweb/owadisp.show_document?p_table=STANDARDS&amp;p_</w:t>
        </w:r>
      </w:hyperlink>
      <w:r>
        <w:rPr>
          <w:i/>
          <w:color w:val="008BBF"/>
          <w:sz w:val="24"/>
        </w:rPr>
        <w:t> </w:t>
      </w:r>
      <w:hyperlink r:id="rId10">
        <w:r>
          <w:rPr>
            <w:i/>
            <w:color w:val="008BBF"/>
            <w:sz w:val="24"/>
          </w:rPr>
          <w:t>id=10767</w:t>
        </w:r>
      </w:hyperlink>
    </w:p>
    <w:p>
      <w:pPr>
        <w:spacing w:after="0" w:line="249" w:lineRule="auto"/>
        <w:jc w:val="left"/>
        <w:rPr>
          <w:sz w:val="24"/>
        </w:rPr>
        <w:sectPr>
          <w:headerReference w:type="default" r:id="rId8"/>
          <w:footerReference w:type="default" r:id="rId9"/>
          <w:pgSz w:w="12240" w:h="15840"/>
          <w:pgMar w:header="972" w:footer="1160" w:top="1160" w:bottom="1360" w:left="980" w:right="920"/>
          <w:pgNumType w:start="2"/>
        </w:sectPr>
      </w:pPr>
    </w:p>
    <w:p>
      <w:pPr>
        <w:pStyle w:val="BodyText"/>
        <w:rPr>
          <w:i/>
          <w:sz w:val="20"/>
        </w:rPr>
      </w:pPr>
    </w:p>
    <w:p>
      <w:pPr>
        <w:pStyle w:val="BodyText"/>
        <w:spacing w:before="3"/>
        <w:rPr>
          <w:i/>
          <w:sz w:val="21"/>
        </w:rPr>
      </w:pPr>
    </w:p>
    <w:p>
      <w:pPr>
        <w:pStyle w:val="Heading1"/>
        <w:tabs>
          <w:tab w:pos="5055" w:val="left" w:leader="none"/>
          <w:tab w:pos="5972" w:val="left" w:leader="none"/>
          <w:tab w:pos="6890" w:val="left" w:leader="none"/>
        </w:tabs>
        <w:ind w:left="3388"/>
      </w:pPr>
      <w:r>
        <w:rPr>
          <w:color w:val="231F20"/>
        </w:rPr>
        <w:t>Date:</w:t>
      </w:r>
      <w:r>
        <w:rPr>
          <w:color w:val="231F20"/>
          <w:u w:val="thick" w:color="221E1F"/>
        </w:rPr>
        <w:t> </w:t>
        <w:tab/>
      </w:r>
      <w:r>
        <w:rPr>
          <w:color w:val="231F20"/>
        </w:rPr>
        <w:t>/</w:t>
      </w:r>
      <w:r>
        <w:rPr>
          <w:color w:val="231F20"/>
          <w:u w:val="thick" w:color="221E1F"/>
        </w:rPr>
        <w:t> </w:t>
        <w:tab/>
      </w:r>
      <w:r>
        <w:rPr>
          <w:color w:val="231F20"/>
        </w:rPr>
        <w:t>/</w:t>
      </w:r>
      <w:r>
        <w:rPr>
          <w:color w:val="231F20"/>
          <w:u w:val="thick" w:color="221E1F"/>
        </w:rPr>
        <w:t> </w:t>
        <w:tab/>
      </w:r>
    </w:p>
    <w:p>
      <w:pPr>
        <w:pStyle w:val="BodyText"/>
        <w:spacing w:before="9"/>
        <w:rPr>
          <w:b/>
        </w:rPr>
      </w:pPr>
    </w:p>
    <w:p>
      <w:pPr>
        <w:spacing w:line="249" w:lineRule="auto" w:before="90"/>
        <w:ind w:left="4139" w:right="3280" w:hanging="901"/>
        <w:jc w:val="left"/>
        <w:rPr>
          <w:b/>
          <w:sz w:val="30"/>
        </w:rPr>
      </w:pPr>
      <w:r>
        <w:rPr>
          <w:b/>
          <w:color w:val="231F20"/>
          <w:sz w:val="30"/>
        </w:rPr>
        <w:t>“Heavy Equipment Safety” Sign In Sheet:</w:t>
      </w:r>
    </w:p>
    <w:p>
      <w:pPr>
        <w:pStyle w:val="BodyText"/>
        <w:spacing w:before="6"/>
        <w:rPr>
          <w:b/>
          <w:sz w:val="31"/>
        </w:rPr>
      </w:pPr>
    </w:p>
    <w:p>
      <w:pPr>
        <w:tabs>
          <w:tab w:pos="7210" w:val="left" w:leader="none"/>
        </w:tabs>
        <w:spacing w:before="0"/>
        <w:ind w:left="986" w:right="0" w:firstLine="0"/>
        <w:jc w:val="left"/>
        <w:rPr>
          <w:b/>
          <w:sz w:val="30"/>
        </w:rPr>
      </w:pPr>
      <w:r>
        <w:rPr>
          <w:b/>
          <w:color w:val="231F20"/>
          <w:sz w:val="30"/>
        </w:rPr>
        <w:t>Name:</w:t>
        <w:tab/>
        <w:t>Signature:</w:t>
      </w:r>
    </w:p>
    <w:p>
      <w:pPr>
        <w:pStyle w:val="BodyText"/>
        <w:rPr>
          <w:b/>
          <w:sz w:val="20"/>
        </w:rPr>
      </w:pPr>
    </w:p>
    <w:p>
      <w:pPr>
        <w:pStyle w:val="BodyText"/>
        <w:rPr>
          <w:b/>
          <w:sz w:val="20"/>
        </w:rPr>
      </w:pPr>
    </w:p>
    <w:p>
      <w:pPr>
        <w:pStyle w:val="BodyText"/>
        <w:spacing w:before="5"/>
        <w:rPr>
          <w:b/>
          <w:sz w:val="16"/>
        </w:rPr>
      </w:pPr>
      <w:r>
        <w:rPr/>
        <w:pict>
          <v:line style="position:absolute;mso-position-horizontal-relative:page;mso-position-vertical-relative:paragraph;z-index:1168;mso-wrap-distance-left:0;mso-wrap-distance-right:0" from="54pt,12.148115pt" to="212.460008pt,12.148115pt" stroked="true" strokeweight="1.335pt" strokecolor="#221e1f">
            <v:stroke dashstyle="solid"/>
            <w10:wrap type="topAndBottom"/>
          </v:line>
        </w:pict>
      </w:r>
      <w:r>
        <w:rPr/>
        <w:pict>
          <v:line style="position:absolute;mso-position-horizontal-relative:page;mso-position-vertical-relative:paragraph;z-index:1192;mso-wrap-distance-left:0;mso-wrap-distance-right:0" from="366.570007pt,12.148115pt" to="533.370015pt,12.148115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216;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240;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264;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288;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312;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336;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360;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384;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408;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432;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456;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480;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504;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528;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552;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576;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600;mso-wrap-distance-left:0;mso-wrap-distance-right:0" from="54pt,10.851938pt" to="212.460008pt,10.851938pt" stroked="true" strokeweight="1.335pt" strokecolor="#221e1f">
            <v:stroke dashstyle="solid"/>
            <w10:wrap type="topAndBottom"/>
          </v:line>
        </w:pict>
      </w:r>
      <w:r>
        <w:rPr/>
        <w:pict>
          <v:line style="position:absolute;mso-position-horizontal-relative:page;mso-position-vertical-relative:paragraph;z-index:1624;mso-wrap-distance-left:0;mso-wrap-distance-right:0" from="366.570007pt,10.851938pt" to="533.370015pt,10.851938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648;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672;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696;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720;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744;mso-wrap-distance-left:0;mso-wrap-distance-right:0" from="54pt,10.851954pt" to="212.460008pt,10.851954pt" stroked="true" strokeweight="1.335pt" strokecolor="#221e1f">
            <v:stroke dashstyle="solid"/>
            <w10:wrap type="topAndBottom"/>
          </v:line>
        </w:pict>
      </w:r>
      <w:r>
        <w:rPr/>
        <w:pict>
          <v:line style="position:absolute;mso-position-horizontal-relative:page;mso-position-vertical-relative:paragraph;z-index:1768;mso-wrap-distance-left:0;mso-wrap-distance-right:0" from="366.570007pt,10.851954pt" to="533.370015pt,10.851954pt" stroked="true" strokeweight="1.335pt" strokecolor="#221e1f">
            <v:stroke dashstyle="solid"/>
            <w10:wrap type="topAndBottom"/>
          </v:line>
        </w:pict>
      </w:r>
    </w:p>
    <w:p>
      <w:pPr>
        <w:pStyle w:val="BodyText"/>
        <w:rPr>
          <w:b/>
          <w:sz w:val="20"/>
        </w:rPr>
      </w:pPr>
    </w:p>
    <w:p>
      <w:pPr>
        <w:pStyle w:val="BodyText"/>
        <w:rPr>
          <w:b/>
          <w:sz w:val="20"/>
        </w:rPr>
      </w:pPr>
    </w:p>
    <w:p>
      <w:pPr>
        <w:pStyle w:val="BodyText"/>
        <w:spacing w:before="3"/>
        <w:rPr>
          <w:b/>
          <w:sz w:val="14"/>
        </w:rPr>
      </w:pPr>
      <w:r>
        <w:rPr/>
        <w:pict>
          <v:line style="position:absolute;mso-position-horizontal-relative:page;mso-position-vertical-relative:paragraph;z-index:1792;mso-wrap-distance-left:0;mso-wrap-distance-right:0" from="54pt,10.851961pt" to="212.460008pt,10.851961pt" stroked="true" strokeweight="1.335pt" strokecolor="#221e1f">
            <v:stroke dashstyle="solid"/>
            <w10:wrap type="topAndBottom"/>
          </v:line>
        </w:pict>
      </w:r>
      <w:r>
        <w:rPr/>
        <w:pict>
          <v:line style="position:absolute;mso-position-horizontal-relative:page;mso-position-vertical-relative:paragraph;z-index:1816;mso-wrap-distance-left:0;mso-wrap-distance-right:0" from="366.570007pt,10.851961pt" to="533.370015pt,10.851961pt" stroked="true" strokeweight="1.335pt" strokecolor="#221e1f">
            <v:stroke dashstyle="solid"/>
            <w10:wrap type="topAndBottom"/>
          </v:line>
        </w:pict>
      </w:r>
    </w:p>
    <w:sectPr>
      <w:pgSz w:w="12240" w:h="15840"/>
      <w:pgMar w:header="972" w:footer="1160" w:top="1160" w:bottom="1360" w:left="9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Franklin Gothic">
    <w:altName w:val="Franklin Goth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944" from="54pt,720.5pt" to="558pt,720.5pt" stroked="true" strokeweight="1pt" strokecolor="#40ad49">
          <v:stroke dashstyle="solid"/>
          <w10:wrap type="none"/>
        </v:line>
      </w:pict>
    </w:r>
    <w:r>
      <w:rPr/>
      <w:pict>
        <v:shape style="position:absolute;margin-left:53pt;margin-top:732.669922pt;width:60.3pt;height:10.95pt;mso-position-horizontal-relative:page;mso-position-vertical-relative:page;z-index:-5920" type="#_x0000_t202" filled="false" stroked="false">
          <v:textbox inset="0,0,0,0">
            <w:txbxContent>
              <w:p>
                <w:pPr>
                  <w:spacing w:before="14"/>
                  <w:ind w:left="20" w:right="0" w:firstLine="0"/>
                  <w:jc w:val="left"/>
                  <w:rPr>
                    <w:i/>
                    <w:sz w:val="16"/>
                  </w:rPr>
                </w:pPr>
                <w:r>
                  <w:rPr>
                    <w:i/>
                    <w:color w:val="231F20"/>
                    <w:sz w:val="16"/>
                  </w:rPr>
                  <w:t>Everyday Safety</w:t>
                </w:r>
              </w:p>
            </w:txbxContent>
          </v:textbox>
          <w10:wrap type="none"/>
        </v:shape>
      </w:pict>
    </w:r>
    <w:r>
      <w:rPr/>
      <w:pict>
        <v:shape style="position:absolute;margin-left:531.644470pt;margin-top:733.669922pt;width:28.4pt;height:10.95pt;mso-position-horizontal-relative:page;mso-position-vertical-relative:page;z-index:-5896" type="#_x0000_t202" filled="false" stroked="false">
          <v:textbox inset="0,0,0,0">
            <w:txbxContent>
              <w:p>
                <w:pPr>
                  <w:spacing w:before="14"/>
                  <w:ind w:left="20" w:right="0" w:firstLine="0"/>
                  <w:jc w:val="left"/>
                  <w:rPr>
                    <w:i/>
                    <w:sz w:val="16"/>
                  </w:rPr>
                </w:pPr>
                <w:r>
                  <w:rPr>
                    <w:i/>
                    <w:color w:val="231F20"/>
                    <w:sz w:val="16"/>
                  </w:rPr>
                  <w:t>Page </w:t>
                </w:r>
                <w:r>
                  <w:rPr/>
                  <w:fldChar w:fldCharType="begin"/>
                </w:r>
                <w:r>
                  <w:rPr>
                    <w:i/>
                    <w:color w:val="231F20"/>
                    <w:sz w:val="16"/>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1.2323pt;margin-top:48.669914pt;width:119.05pt;height:10.95pt;mso-position-horizontal-relative:page;mso-position-vertical-relative:page;z-index:-5968" type="#_x0000_t202" filled="false" stroked="false">
          <v:textbox inset="0,0,0,0">
            <w:txbxContent>
              <w:p>
                <w:pPr>
                  <w:spacing w:before="14"/>
                  <w:ind w:left="20" w:right="0" w:firstLine="0"/>
                  <w:jc w:val="left"/>
                  <w:rPr>
                    <w:i/>
                    <w:sz w:val="16"/>
                  </w:rPr>
                </w:pPr>
                <w:r>
                  <w:rPr>
                    <w:i/>
                    <w:color w:val="231F20"/>
                    <w:sz w:val="16"/>
                  </w:rPr>
                  <w:t>HEAVY EQUIPMENT SAFETY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30" w:hanging="270"/>
      </w:pPr>
      <w:rPr>
        <w:rFonts w:hint="default" w:ascii="Wingdings" w:hAnsi="Wingdings" w:eastAsia="Wingdings" w:cs="Wingdings"/>
        <w:color w:val="231F20"/>
        <w:w w:val="100"/>
        <w:sz w:val="24"/>
        <w:szCs w:val="24"/>
        <w:lang w:val="en-us" w:eastAsia="en-us" w:bidi="en-us"/>
      </w:rPr>
    </w:lvl>
    <w:lvl w:ilvl="1">
      <w:start w:val="0"/>
      <w:numFmt w:val="bullet"/>
      <w:lvlText w:val="•"/>
      <w:lvlJc w:val="left"/>
      <w:pPr>
        <w:ind w:left="820" w:hanging="270"/>
      </w:pPr>
      <w:rPr>
        <w:rFonts w:hint="default" w:ascii="Arial" w:hAnsi="Arial" w:eastAsia="Arial" w:cs="Arial"/>
        <w:color w:val="231F20"/>
        <w:spacing w:val="-15"/>
        <w:w w:val="100"/>
        <w:sz w:val="24"/>
        <w:szCs w:val="24"/>
        <w:lang w:val="en-us" w:eastAsia="en-us" w:bidi="en-us"/>
      </w:rPr>
    </w:lvl>
    <w:lvl w:ilvl="2">
      <w:start w:val="0"/>
      <w:numFmt w:val="bullet"/>
      <w:lvlText w:val="•"/>
      <w:lvlJc w:val="left"/>
      <w:pPr>
        <w:ind w:left="1877" w:hanging="270"/>
      </w:pPr>
      <w:rPr>
        <w:rFonts w:hint="default"/>
        <w:lang w:val="en-us" w:eastAsia="en-us" w:bidi="en-us"/>
      </w:rPr>
    </w:lvl>
    <w:lvl w:ilvl="3">
      <w:start w:val="0"/>
      <w:numFmt w:val="bullet"/>
      <w:lvlText w:val="•"/>
      <w:lvlJc w:val="left"/>
      <w:pPr>
        <w:ind w:left="2935" w:hanging="270"/>
      </w:pPr>
      <w:rPr>
        <w:rFonts w:hint="default"/>
        <w:lang w:val="en-us" w:eastAsia="en-us" w:bidi="en-us"/>
      </w:rPr>
    </w:lvl>
    <w:lvl w:ilvl="4">
      <w:start w:val="0"/>
      <w:numFmt w:val="bullet"/>
      <w:lvlText w:val="•"/>
      <w:lvlJc w:val="left"/>
      <w:pPr>
        <w:ind w:left="3993" w:hanging="270"/>
      </w:pPr>
      <w:rPr>
        <w:rFonts w:hint="default"/>
        <w:lang w:val="en-us" w:eastAsia="en-us" w:bidi="en-us"/>
      </w:rPr>
    </w:lvl>
    <w:lvl w:ilvl="5">
      <w:start w:val="0"/>
      <w:numFmt w:val="bullet"/>
      <w:lvlText w:val="•"/>
      <w:lvlJc w:val="left"/>
      <w:pPr>
        <w:ind w:left="5051" w:hanging="270"/>
      </w:pPr>
      <w:rPr>
        <w:rFonts w:hint="default"/>
        <w:lang w:val="en-us" w:eastAsia="en-us" w:bidi="en-us"/>
      </w:rPr>
    </w:lvl>
    <w:lvl w:ilvl="6">
      <w:start w:val="0"/>
      <w:numFmt w:val="bullet"/>
      <w:lvlText w:val="•"/>
      <w:lvlJc w:val="left"/>
      <w:pPr>
        <w:ind w:left="6108" w:hanging="270"/>
      </w:pPr>
      <w:rPr>
        <w:rFonts w:hint="default"/>
        <w:lang w:val="en-us" w:eastAsia="en-us" w:bidi="en-us"/>
      </w:rPr>
    </w:lvl>
    <w:lvl w:ilvl="7">
      <w:start w:val="0"/>
      <w:numFmt w:val="bullet"/>
      <w:lvlText w:val="•"/>
      <w:lvlJc w:val="left"/>
      <w:pPr>
        <w:ind w:left="7166" w:hanging="270"/>
      </w:pPr>
      <w:rPr>
        <w:rFonts w:hint="default"/>
        <w:lang w:val="en-us" w:eastAsia="en-us" w:bidi="en-us"/>
      </w:rPr>
    </w:lvl>
    <w:lvl w:ilvl="8">
      <w:start w:val="0"/>
      <w:numFmt w:val="bullet"/>
      <w:lvlText w:val="•"/>
      <w:lvlJc w:val="left"/>
      <w:pPr>
        <w:ind w:left="8224" w:hanging="27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90"/>
      <w:ind w:left="986"/>
      <w:outlineLvl w:val="1"/>
    </w:pPr>
    <w:rPr>
      <w:rFonts w:ascii="Arial" w:hAnsi="Arial" w:eastAsia="Arial" w:cs="Arial"/>
      <w:b/>
      <w:bCs/>
      <w:sz w:val="30"/>
      <w:szCs w:val="30"/>
      <w:lang w:val="en-us" w:eastAsia="en-us" w:bidi="en-us"/>
    </w:rPr>
  </w:style>
  <w:style w:styleId="Heading2" w:type="paragraph">
    <w:name w:val="Heading 2"/>
    <w:basedOn w:val="Normal"/>
    <w:uiPriority w:val="1"/>
    <w:qFormat/>
    <w:pPr>
      <w:spacing w:before="90"/>
      <w:ind w:left="100"/>
      <w:outlineLvl w:val="2"/>
    </w:pPr>
    <w:rPr>
      <w:rFonts w:ascii="Arial" w:hAnsi="Arial" w:eastAsia="Arial" w:cs="Arial"/>
      <w:b/>
      <w:bCs/>
      <w:i/>
      <w:sz w:val="30"/>
      <w:szCs w:val="30"/>
      <w:lang w:val="en-us" w:eastAsia="en-us" w:bidi="en-us"/>
    </w:rPr>
  </w:style>
  <w:style w:styleId="Heading3" w:type="paragraph">
    <w:name w:val="Heading 3"/>
    <w:basedOn w:val="Normal"/>
    <w:uiPriority w:val="1"/>
    <w:qFormat/>
    <w:pPr>
      <w:ind w:left="100"/>
      <w:outlineLvl w:val="3"/>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192"/>
      <w:ind w:left="730" w:hanging="27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www.osha.gov/pls/oshaweb/owadisp.show_document?p_table=STANDARDS&amp;amp;p_id=10767"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2018-01-10T16:21:28Z</dcterms:created>
  <dcterms:modified xsi:type="dcterms:W3CDTF">2018-01-10T16:21:28Z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Adobe InDesign CC 2017 (Windows)</vt:lpwstr>
  </property>
  <property fmtid="{D5CDD505-2E9C-101B-9397-08002B2CF9AE}" pid="4" name="LastSaved">
    <vt:filetime>2018-01-10T00:00:00Z</vt:filetime>
  </property>
</Properties>
</file>